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tough.py:</w:t>
      </w:r>
      <w:r>
        <w:t xml:space="preserve"> </w:t>
      </w:r>
      <w:r>
        <w:t xml:space="preserve">Cell-Based</w:t>
      </w:r>
      <w:r>
        <w:t xml:space="preserve"> </w:t>
      </w:r>
      <w:r>
        <w:t xml:space="preserve">Permeability</w:t>
      </w:r>
      <w:r>
        <w:t xml:space="preserve"> </w:t>
      </w:r>
      <w:r>
        <w:t xml:space="preserve">via</w:t>
      </w:r>
      <w:r>
        <w:t xml:space="preserve"> </w:t>
      </w:r>
      <w:r>
        <w:t xml:space="preserve">PMX</w:t>
      </w:r>
    </w:p>
    <w:p>
      <w:pPr>
        <w:pStyle w:val="Date"/>
      </w:pPr>
      <w:r>
        <w:t xml:space="preserve">2026-10-20</w:t>
      </w:r>
    </w:p>
    <w:bookmarkStart w:id="20" w:name="goal-and-approach"/>
    <w:p>
      <w:pPr>
        <w:pStyle w:val="Heading2"/>
      </w:pPr>
      <w:r>
        <w:t xml:space="preserve">Goal and approach</w:t>
      </w:r>
    </w:p>
    <w:p>
      <w:pPr>
        <w:pStyle w:val="FirstParagraph"/>
      </w:pPr>
      <w:r>
        <w:t xml:space="preserve">Give every element its own permeability through PMX in the ELEME block of MESH, so the TOUGH3 deck needs one ROCKS record for all fractures instead of one per fracture. The permeability comes from the same per-cell array PFLOTRAN already uses (</w:t>
      </w:r>
      <w:r>
        <w:rPr>
          <w:rStyle w:val="VerbatimChar"/>
        </w:rPr>
        <w:t xml:space="preserve">perm_cell</w:t>
      </w:r>
      <w:r>
        <w:t xml:space="preserve">), so both codes see an identical field.</w:t>
      </w:r>
    </w:p>
    <w:p>
      <w:pPr>
        <w:numPr>
          <w:ilvl w:val="0"/>
          <w:numId w:val="1001"/>
        </w:numPr>
        <w:pStyle w:val="Compact"/>
      </w:pPr>
      <w:r>
        <w:t xml:space="preserve">ROCKS holds one reference permeability,</w:t>
      </w:r>
      <w:r>
        <w:t xml:space="preserve"> </w:t>
      </w:r>
      <w:r>
        <w:rPr>
          <w:rStyle w:val="VerbatimChar"/>
        </w:rPr>
        <w:t xml:space="preserve">perm_ref</w:t>
      </w:r>
      <w:r>
        <w:t xml:space="preserve">, plus a dummy</w:t>
      </w:r>
      <w:r>
        <w:t xml:space="preserve"> </w:t>
      </w:r>
      <w:r>
        <w:rPr>
          <w:rStyle w:val="VerbatimChar"/>
        </w:rPr>
        <w:t xml:space="preserve">SEED</w:t>
      </w:r>
      <w:r>
        <w:t xml:space="preserve"> </w:t>
      </w:r>
      <w:r>
        <w:t xml:space="preserve">record.</w:t>
      </w:r>
    </w:p>
    <w:p>
      <w:pPr>
        <w:numPr>
          <w:ilvl w:val="0"/>
          <w:numId w:val="1001"/>
        </w:numPr>
        <w:pStyle w:val="Compact"/>
      </w:pPr>
      <w:r>
        <w:rPr>
          <w:rStyle w:val="VerbatimChar"/>
        </w:rPr>
        <w:t xml:space="preserve">convert_uge_to_tough</w:t>
      </w:r>
      <w:r>
        <w:t xml:space="preserve"> </w:t>
      </w:r>
      <w:r>
        <w:t xml:space="preserve">writes</w:t>
      </w:r>
      <w:r>
        <w:t xml:space="preserve"> </w:t>
      </w:r>
      <w:r>
        <w:rPr>
          <w:rStyle w:val="VerbatimChar"/>
        </w:rPr>
        <w:t xml:space="preserve">PMX = perm_cell[i] / perm_ref</w:t>
      </w:r>
      <w:r>
        <w:t xml:space="preserve"> </w:t>
      </w:r>
      <w:r>
        <w:t xml:space="preserve">into cols 41-50 of every ELEME record.</w:t>
      </w:r>
    </w:p>
    <w:p>
      <w:pPr>
        <w:numPr>
          <w:ilvl w:val="0"/>
          <w:numId w:val="1001"/>
        </w:numPr>
        <w:pStyle w:val="Compact"/>
      </w:pPr>
      <w:r>
        <w:t xml:space="preserve">Default behavior is unchanged: if no</w:t>
      </w:r>
      <w:r>
        <w:t xml:space="preserve"> </w:t>
      </w:r>
      <w:r>
        <w:rPr>
          <w:rStyle w:val="VerbatimChar"/>
        </w:rPr>
        <w:t xml:space="preserve">perm_cell</w:t>
      </w:r>
      <w:r>
        <w:t xml:space="preserve"> </w:t>
      </w:r>
      <w:r>
        <w:t xml:space="preserve">is passed, PMX stays blank as it is today.</w:t>
      </w:r>
    </w:p>
    <w:bookmarkEnd w:id="20"/>
    <w:bookmarkStart w:id="21" w:name="permeability-source"/>
    <w:p>
      <w:pPr>
        <w:pStyle w:val="Heading2"/>
      </w:pPr>
      <w:r>
        <w:t xml:space="preserve">Permeability source</w:t>
      </w:r>
    </w:p>
    <w:p>
      <w:pPr>
        <w:pStyle w:val="FirstParagraph"/>
      </w:pPr>
      <w:r>
        <w:rPr>
          <w:rStyle w:val="VerbatimChar"/>
        </w:rPr>
        <w:t xml:space="preserve">dump_h5_files</w:t>
      </w:r>
      <w:r>
        <w:t xml:space="preserve"> </w:t>
      </w:r>
      <w:r>
        <w:t xml:space="preserve">builds</w:t>
      </w:r>
      <w:r>
        <w:t xml:space="preserve"> </w:t>
      </w:r>
      <w:r>
        <w:rPr>
          <w:rStyle w:val="VerbatimChar"/>
        </w:rPr>
        <w:t xml:space="preserve">self.perm_cell</w:t>
      </w:r>
      <w:r>
        <w:t xml:space="preserve"> </w:t>
      </w:r>
      <w:r>
        <w:t xml:space="preserve">two ways: it reads column 2 of</w:t>
      </w:r>
      <w:r>
        <w:t xml:space="preserve"> </w:t>
      </w:r>
      <w:r>
        <w:rPr>
          <w:rStyle w:val="VerbatimChar"/>
        </w:rPr>
        <w:t xml:space="preserve">perm_cell_file</w:t>
      </w:r>
      <w:r>
        <w:t xml:space="preserve"> </w:t>
      </w:r>
      <w:r>
        <w:t xml:space="preserve">when</w:t>
      </w:r>
      <w:r>
        <w:t xml:space="preserve"> </w:t>
      </w:r>
      <w:r>
        <w:rPr>
          <w:rStyle w:val="VerbatimChar"/>
        </w:rPr>
        <w:t xml:space="preserve">cell_based_aperture</w:t>
      </w:r>
      <w:r>
        <w:t xml:space="preserve"> </w:t>
      </w:r>
      <w:r>
        <w:t xml:space="preserve">is set, otherwise it looks up</w:t>
      </w:r>
      <w:r>
        <w:t xml:space="preserve"> </w:t>
      </w:r>
      <w:r>
        <w:rPr>
          <w:rStyle w:val="VerbatimChar"/>
        </w:rPr>
        <w:t xml:space="preserve">self.perm[self.material_ids[i] - 1]</w:t>
      </w:r>
      <w:r>
        <w:t xml:space="preserve"> </w:t>
      </w:r>
      <w:r>
        <w:t xml:space="preserve">per node. Move that logic into one helper that both writers call, so the PFLOTRAN h5 file and the TOUGH MESH cannot drift apart.</w:t>
      </w:r>
    </w:p>
    <w:p>
      <w:pPr>
        <w:pStyle w:val="SourceCode"/>
      </w:pPr>
      <w:r>
        <w:rPr>
          <w:rStyle w:val="KeywordTok"/>
        </w:rPr>
        <w:t xml:space="preserve">def</w:t>
      </w:r>
      <w:r>
        <w:rPr>
          <w:rStyle w:val="NormalTok"/>
        </w:rPr>
        <w:t xml:space="preserve"> get_perm_cell(</w:t>
      </w:r>
      <w:r>
        <w:rPr>
          <w:rStyle w:val="VariableTok"/>
        </w:rPr>
        <w:t xml:space="preserve">self</w:t>
      </w:r>
      <w:r>
        <w:rPr>
          <w:rStyle w:val="NormalTok"/>
        </w:rPr>
        <w:t xml:space="preserve">):</w:t>
      </w:r>
      <w:r>
        <w:br/>
      </w:r>
      <w:r>
        <w:rPr>
          <w:rStyle w:val="NormalTok"/>
        </w:rPr>
        <w:t xml:space="preserve">    </w:t>
      </w:r>
      <w:r>
        <w:rPr>
          <w:rStyle w:val="CommentTok"/>
        </w:rPr>
        <w:t xml:space="preserve">"""Return one permeability per cell, in UGE CELLS order (length num_nodes)."""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.cell_based_aperture:</w:t>
      </w:r>
      <w:r>
        <w:br/>
      </w:r>
      <w:r>
        <w:rPr>
          <w:rStyle w:val="NormalTok"/>
        </w:rPr>
        <w:t xml:space="preserve">        </w:t>
      </w:r>
      <w:r>
        <w:rPr>
          <w:rStyle w:val="ControlFlowTok"/>
        </w:rPr>
        <w:t xml:space="preserve">return</w:t>
      </w:r>
      <w:r>
        <w:rPr>
          <w:rStyle w:val="NormalTok"/>
        </w:rPr>
        <w:t xml:space="preserve"> np.genfromtxt(</w:t>
      </w:r>
      <w:r>
        <w:rPr>
          <w:rStyle w:val="VariableTok"/>
        </w:rPr>
        <w:t xml:space="preserve">self</w:t>
      </w:r>
      <w:r>
        <w:rPr>
          <w:rStyle w:val="NormalTok"/>
        </w:rPr>
        <w:t xml:space="preserve">.perm_cell_file, skip_header</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rPr>
          <w:rStyle w:val="VariableTok"/>
        </w:rPr>
        <w:t xml:space="preserve">self</w:t>
      </w:r>
      <w:r>
        <w:rPr>
          <w:rStyle w:val="NormalTok"/>
        </w:rPr>
        <w:t xml:space="preserve">.perm[</w:t>
      </w:r>
      <w:r>
        <w:rPr>
          <w:rStyle w:val="VariableTok"/>
        </w:rPr>
        <w:t xml:space="preserve">self</w:t>
      </w:r>
      <w:r>
        <w:rPr>
          <w:rStyle w:val="NormalTok"/>
        </w:rPr>
        <w:t xml:space="preserve">.material_ids[i]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.num_nodes)])</w:t>
      </w:r>
    </w:p>
    <w:p>
      <w:pPr>
        <w:pStyle w:val="FirstParagraph"/>
      </w:pPr>
      <w:r>
        <w:rPr>
          <w:rStyle w:val="VerbatimChar"/>
        </w:rPr>
        <w:t xml:space="preserve">dump_h5_files</w:t>
      </w:r>
      <w:r>
        <w:t xml:space="preserve"> </w:t>
      </w:r>
      <w:r>
        <w:t xml:space="preserve">would then do</w:t>
      </w:r>
      <w:r>
        <w:t xml:space="preserve"> </w:t>
      </w:r>
      <w:r>
        <w:rPr>
          <w:rStyle w:val="VerbatimChar"/>
        </w:rPr>
        <w:t xml:space="preserve">self.perm_cell = self.get_perm_cell()</w:t>
      </w:r>
      <w:r>
        <w:t xml:space="preserve"> </w:t>
      </w:r>
      <w:r>
        <w:t xml:space="preserve">and keep the rest as is.</w:t>
      </w:r>
    </w:p>
    <w:p>
      <w:pPr>
        <w:pStyle w:val="BodyText"/>
      </w:pPr>
      <w:r>
        <w:t xml:space="preserve">Ordering assumption:</w:t>
      </w:r>
      <w:r>
        <w:t xml:space="preserve"> </w:t>
      </w:r>
      <w:r>
        <w:rPr>
          <w:rStyle w:val="VerbatimChar"/>
        </w:rPr>
        <w:t xml:space="preserve">perm_cell[i]</w:t>
      </w:r>
      <w:r>
        <w:t xml:space="preserve"> </w:t>
      </w:r>
      <w:r>
        <w:t xml:space="preserve">belongs to UGE cell</w:t>
      </w:r>
      <w:r>
        <w:t xml:space="preserve"> </w:t>
      </w:r>
      <w:r>
        <w:rPr>
          <w:rStyle w:val="VerbatimChar"/>
        </w:rPr>
        <w:t xml:space="preserve">i+1</w:t>
      </w:r>
      <w:r>
        <w:t xml:space="preserve">, which is element</w:t>
      </w:r>
      <w:r>
        <w:t xml:space="preserve"> </w:t>
      </w:r>
      <w:r>
        <w:rPr>
          <w:rStyle w:val="VerbatimChar"/>
        </w:rPr>
        <w:t xml:space="preserve">tough_element_name(i+1)</w:t>
      </w:r>
      <w:r>
        <w:t xml:space="preserve"> </w:t>
      </w:r>
      <w:r>
        <w:t xml:space="preserve">in the converter. Check that</w:t>
      </w:r>
      <w:r>
        <w:t xml:space="preserve"> </w:t>
      </w:r>
      <w:r>
        <w:rPr>
          <w:rStyle w:val="VerbatimChar"/>
        </w:rPr>
        <w:t xml:space="preserve">perm_cell_file</w:t>
      </w:r>
      <w:r>
        <w:t xml:space="preserve"> </w:t>
      </w:r>
      <w:r>
        <w:t xml:space="preserve">is in that order before trusting it.</w:t>
      </w:r>
    </w:p>
    <w:bookmarkEnd w:id="21"/>
    <w:bookmarkStart w:id="22" w:name="pmx-in-the-eleme-record"/>
    <w:p>
      <w:pPr>
        <w:pStyle w:val="Heading2"/>
      </w:pPr>
      <w:r>
        <w:t xml:space="preserve">PMX in the ELEME record</w:t>
      </w:r>
    </w:p>
    <w:p>
      <w:pPr>
        <w:pStyle w:val="FirstParagraph"/>
      </w:pPr>
      <w:r>
        <w:t xml:space="preserve">The TOUGH3 guide gives the ELEME format as</w:t>
      </w:r>
      <w:r>
        <w:t xml:space="preserve"> </w:t>
      </w:r>
      <w:r>
        <w:rPr>
          <w:rStyle w:val="VerbatimChar"/>
        </w:rPr>
        <w:t xml:space="preserve">(A3, I2, 2I5, A3, A2, 9E10.4)</w:t>
      </w:r>
      <w:r>
        <w:t xml:space="preserve">. In the current writer the blank</w:t>
      </w:r>
      <w:r>
        <w:t xml:space="preserve"> </w:t>
      </w:r>
      <w:r>
        <w:rPr>
          <w:rStyle w:val="VerbatimChar"/>
        </w:rPr>
        <w:t xml:space="preserve">{'':10s}</w:t>
      </w:r>
      <w:r>
        <w:t xml:space="preserve"> </w:t>
      </w:r>
      <w:r>
        <w:t xml:space="preserve">after the area field is already the PMX slot, so the change is one f-string field.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Cols</w:t>
            </w:r>
          </w:p>
        </w:tc>
        <w:tc>
          <w:tcPr/>
          <w:p>
            <w:pPr>
              <w:pStyle w:val="Compact"/>
              <w:jc w:val="left"/>
            </w:pPr>
            <w:r>
              <w:t xml:space="preserve">Field</w:t>
            </w:r>
          </w:p>
        </w:tc>
        <w:tc>
          <w:tcPr/>
          <w:p>
            <w:pPr>
              <w:pStyle w:val="Compact"/>
              <w:jc w:val="left"/>
            </w:pPr>
            <w:r>
              <w:t xml:space="preserve">Current writer</w:t>
            </w:r>
          </w:p>
        </w:tc>
      </w:tr>
      <w:tr>
        <w:tc>
          <w:tcPr/>
          <w:p>
            <w:pPr>
              <w:pStyle w:val="Compact"/>
              <w:jc w:val="left"/>
            </w:pPr>
            <w:r>
              <w:t xml:space="preserve">1-5</w:t>
            </w:r>
          </w:p>
        </w:tc>
        <w:tc>
          <w:tcPr/>
          <w:p>
            <w:pPr>
              <w:pStyle w:val="Compact"/>
              <w:jc w:val="left"/>
            </w:pPr>
            <w:r>
              <w:t xml:space="preserve">element name</w:t>
            </w:r>
          </w:p>
        </w:tc>
        <w:tc>
          <w:tcPr/>
          <w:p>
            <w:pPr>
              <w:pStyle w:val="Compact"/>
              <w:jc w:val="left"/>
            </w:pPr>
            <w:r>
              <w:rPr>
                <w:rStyle w:val="VerbatimChar"/>
              </w:rPr>
              <w:t xml:space="preserve">{element_name:5s}</w:t>
            </w:r>
          </w:p>
        </w:tc>
      </w:tr>
      <w:tr>
        <w:tc>
          <w:tcPr/>
          <w:p>
            <w:pPr>
              <w:pStyle w:val="Compact"/>
              <w:jc w:val="left"/>
            </w:pPr>
            <w:r>
              <w:t xml:space="preserve">6-20</w:t>
            </w:r>
          </w:p>
        </w:tc>
        <w:tc>
          <w:tcPr/>
          <w:p>
            <w:pPr>
              <w:pStyle w:val="Compact"/>
              <w:jc w:val="left"/>
            </w:pPr>
            <w:r>
              <w:t xml:space="preserve">NSEQ, NADD, MA1, MA2</w:t>
            </w:r>
          </w:p>
        </w:tc>
        <w:tc>
          <w:tcPr/>
          <w:p>
            <w:pPr>
              <w:pStyle w:val="Compact"/>
              <w:jc w:val="left"/>
            </w:pPr>
            <w:r>
              <w:rPr>
                <w:rStyle w:val="VerbatimChar"/>
              </w:rPr>
              <w:t xml:space="preserve">{rock_type:&gt;15s}</w:t>
            </w:r>
          </w:p>
        </w:tc>
      </w:tr>
      <w:tr>
        <w:tc>
          <w:tcPr/>
          <w:p>
            <w:pPr>
              <w:pStyle w:val="Compact"/>
              <w:jc w:val="left"/>
            </w:pPr>
            <w:r>
              <w:t xml:space="preserve">21-30</w:t>
            </w:r>
          </w:p>
        </w:tc>
        <w:tc>
          <w:tcPr/>
          <w:p>
            <w:pPr>
              <w:pStyle w:val="Compact"/>
              <w:jc w:val="left"/>
            </w:pPr>
            <w:r>
              <w:t xml:space="preserve">VOLX</w:t>
            </w:r>
          </w:p>
        </w:tc>
        <w:tc>
          <w:tcPr/>
          <w:p>
            <w:pPr>
              <w:pStyle w:val="Compact"/>
              <w:jc w:val="left"/>
            </w:pPr>
            <w:r>
              <w:rPr>
                <w:rStyle w:val="VerbatimChar"/>
              </w:rPr>
              <w:t xml:space="preserve">{volume:10.4E}</w:t>
            </w:r>
          </w:p>
        </w:tc>
      </w:tr>
      <w:tr>
        <w:tc>
          <w:tcPr/>
          <w:p>
            <w:pPr>
              <w:pStyle w:val="Compact"/>
              <w:jc w:val="left"/>
            </w:pPr>
            <w:r>
              <w:t xml:space="preserve">31-40</w:t>
            </w:r>
          </w:p>
        </w:tc>
        <w:tc>
          <w:tcPr/>
          <w:p>
            <w:pPr>
              <w:pStyle w:val="Compact"/>
              <w:jc w:val="left"/>
            </w:pPr>
            <w:r>
              <w:t xml:space="preserve">AHTX</w:t>
            </w:r>
          </w:p>
        </w:tc>
        <w:tc>
          <w:tcPr/>
          <w:p>
            <w:pPr>
              <w:pStyle w:val="Compact"/>
              <w:jc w:val="left"/>
            </w:pPr>
            <w:r>
              <w:rPr>
                <w:rStyle w:val="VerbatimChar"/>
              </w:rPr>
              <w:t xml:space="preserve">{unknown:+9.3E}</w:t>
            </w:r>
            <w:r>
              <w:t xml:space="preserve"> </w:t>
            </w:r>
            <w:r>
              <w:t xml:space="preserve">(prints 10 chars)</w:t>
            </w:r>
          </w:p>
        </w:tc>
      </w:tr>
      <w:tr>
        <w:tc>
          <w:tcPr/>
          <w:p>
            <w:pPr>
              <w:pStyle w:val="Compact"/>
              <w:jc w:val="left"/>
            </w:pPr>
            <w:r>
              <w:t xml:space="preserve">41-50</w:t>
            </w:r>
          </w:p>
        </w:tc>
        <w:tc>
          <w:tcPr/>
          <w:p>
            <w:pPr>
              <w:pStyle w:val="Compact"/>
              <w:jc w:val="left"/>
            </w:pPr>
            <w:r>
              <w:t xml:space="preserve">PMX</w:t>
            </w:r>
          </w:p>
        </w:tc>
        <w:tc>
          <w:tcPr/>
          <w:p>
            <w:pPr>
              <w:pStyle w:val="Compact"/>
              <w:jc w:val="left"/>
            </w:pPr>
            <w:r>
              <w:rPr>
                <w:rStyle w:val="VerbatimChar"/>
              </w:rPr>
              <w:t xml:space="preserve">{'':10s}</w:t>
            </w:r>
            <w:r>
              <w:t xml:space="preserve"> </w:t>
            </w:r>
            <w:r>
              <w:t xml:space="preserve">(blank today)</w:t>
            </w:r>
          </w:p>
        </w:tc>
      </w:tr>
      <w:tr>
        <w:tc>
          <w:tcPr/>
          <w:p>
            <w:pPr>
              <w:pStyle w:val="Compact"/>
              <w:jc w:val="left"/>
            </w:pPr>
            <w:r>
              <w:t xml:space="preserve">51-60, 61-70, 71-80</w:t>
            </w:r>
          </w:p>
        </w:tc>
        <w:tc>
          <w:tcPr/>
          <w:p>
            <w:pPr>
              <w:pStyle w:val="Compact"/>
              <w:jc w:val="left"/>
            </w:pPr>
            <w:r>
              <w:t xml:space="preserve">X, Y, Z</w:t>
            </w:r>
          </w:p>
        </w:tc>
        <w:tc>
          <w:tcPr/>
          <w:p>
            <w:pPr>
              <w:pStyle w:val="Compact"/>
              <w:jc w:val="left"/>
            </w:pPr>
            <w:r>
              <w:rPr>
                <w:rStyle w:val="VerbatimChar"/>
              </w:rPr>
              <w:t xml:space="preserve">{x:+9.3E}</w:t>
            </w:r>
            <w:r>
              <w:t xml:space="preserve"> </w:t>
            </w:r>
            <w:r>
              <w:t xml:space="preserve">etc. (10 chars each)</w:t>
            </w:r>
          </w:p>
        </w:tc>
      </w:tr>
    </w:tbl>
    <w:p>
      <w:pPr>
        <w:pStyle w:val="BodyText"/>
      </w:pPr>
      <w:r>
        <w:t xml:space="preserve">Replace the blank with</w:t>
      </w:r>
      <w:r>
        <w:t xml:space="preserve"> </w:t>
      </w:r>
      <w:r>
        <w:rPr>
          <w:rStyle w:val="VerbatimChar"/>
        </w:rPr>
        <w:t xml:space="preserve">{pmx:10.4E}</w:t>
      </w:r>
      <w:r>
        <w:t xml:space="preserve">. That prints exactly 10 characters for any positive value with a two-digit exponent, such as</w:t>
      </w:r>
      <w:r>
        <w:t xml:space="preserve"> </w:t>
      </w:r>
      <w:r>
        <w:rPr>
          <w:rStyle w:val="VerbatimChar"/>
        </w:rPr>
        <w:t xml:space="preserve">1.2345E+00</w:t>
      </w:r>
      <w:r>
        <w:t xml:space="preserve"> </w:t>
      </w:r>
      <w:r>
        <w:t xml:space="preserve">or</w:t>
      </w:r>
      <w:r>
        <w:t xml:space="preserve"> </w:t>
      </w:r>
      <w:r>
        <w:rPr>
          <w:rStyle w:val="VerbatimChar"/>
        </w:rPr>
        <w:t xml:space="preserve">6.0000E-13</w:t>
      </w:r>
      <w:r>
        <w:t xml:space="preserve">.</w:t>
      </w:r>
    </w:p>
    <w:p>
      <w:pPr>
        <w:numPr>
          <w:ilvl w:val="0"/>
          <w:numId w:val="1002"/>
        </w:numPr>
        <w:pStyle w:val="Compact"/>
      </w:pPr>
      <w:r>
        <w:t xml:space="preserve">Write PMX on every element, including boundary elements with volume 1e51. With SEED on, PMX = 0 makes an element impermeable, and a blank PMX on the first element makes TOUGH3 ignore the whole field.</w:t>
      </w:r>
    </w:p>
    <w:p>
      <w:pPr>
        <w:numPr>
          <w:ilvl w:val="0"/>
          <w:numId w:val="1002"/>
        </w:numPr>
        <w:pStyle w:val="Compact"/>
      </w:pPr>
      <w:r>
        <w:t xml:space="preserve">The comment block in</w:t>
      </w:r>
      <w:r>
        <w:t xml:space="preserve"> </w:t>
      </w:r>
      <w:r>
        <w:rPr>
          <w:rStyle w:val="VerbatimChar"/>
        </w:rPr>
        <w:t xml:space="preserve">convert_uge_to_tough</w:t>
      </w:r>
      <w:r>
        <w:t xml:space="preserve"> </w:t>
      </w:r>
      <w:r>
        <w:t xml:space="preserve">lists cols 31-39, 40-49 and 50-58. The fields are 10 wide, so fix those to 31-40, 41-50 and 51-60 while editing.</w:t>
      </w:r>
    </w:p>
    <w:bookmarkEnd w:id="22"/>
    <w:bookmarkStart w:id="23" w:name="rocks-and-seed"/>
    <w:p>
      <w:pPr>
        <w:pStyle w:val="Heading2"/>
      </w:pPr>
      <w:r>
        <w:t xml:space="preserve">ROCKS and SEED</w:t>
      </w:r>
    </w:p>
    <w:p>
      <w:pPr>
        <w:pStyle w:val="FirstParagraph"/>
      </w:pPr>
      <w:r>
        <w:t xml:space="preserve">Per the TOUGH3 guide there are two ways to carry the field. Multiplier mode keeps a sensible permeability in ROCKS and is the recommended 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Multiplier mode</w:t>
            </w:r>
          </w:p>
        </w:tc>
        <w:tc>
          <w:tcPr/>
          <w:p>
            <w:pPr>
              <w:pStyle w:val="Compact"/>
              <w:jc w:val="left"/>
            </w:pPr>
            <w:r>
              <w:t xml:space="preserve">Absolute mode</w:t>
            </w:r>
          </w:p>
        </w:tc>
      </w:tr>
      <w:tr>
        <w:tc>
          <w:tcPr/>
          <w:p>
            <w:pPr>
              <w:pStyle w:val="Compact"/>
              <w:jc w:val="left"/>
            </w:pPr>
            <w:r>
              <w:t xml:space="preserve">ROCKS</w:t>
            </w:r>
          </w:p>
        </w:tc>
        <w:tc>
          <w:tcPr/>
          <w:p>
            <w:pPr>
              <w:pStyle w:val="Compact"/>
              <w:jc w:val="left"/>
            </w:pPr>
            <w:r>
              <w:rPr>
                <w:rStyle w:val="VerbatimChar"/>
              </w:rPr>
              <w:t xml:space="preserve">perm_ref</w:t>
            </w:r>
            <w:r>
              <w:t xml:space="preserve"> </w:t>
            </w:r>
            <w:r>
              <w:t xml:space="preserve">in PER(1..3), plus a dummy</w:t>
            </w:r>
            <w:r>
              <w:t xml:space="preserve"> </w:t>
            </w:r>
            <w:r>
              <w:rPr>
                <w:rStyle w:val="VerbatimChar"/>
              </w:rPr>
              <w:t xml:space="preserve">SEED</w:t>
            </w:r>
            <w:r>
              <w:t xml:space="preserve"> </w:t>
            </w:r>
            <w:r>
              <w:t xml:space="preserve">record</w:t>
            </w:r>
          </w:p>
        </w:tc>
        <w:tc>
          <w:tcPr/>
          <w:p>
            <w:pPr>
              <w:pStyle w:val="Compact"/>
              <w:jc w:val="left"/>
            </w:pPr>
            <w:r>
              <w:t xml:space="preserve">any permeability, no</w:t>
            </w:r>
            <w:r>
              <w:t xml:space="preserve"> </w:t>
            </w:r>
            <w:r>
              <w:rPr>
                <w:rStyle w:val="VerbatimChar"/>
              </w:rPr>
              <w:t xml:space="preserve">SEED</w:t>
            </w:r>
          </w:p>
        </w:tc>
      </w:tr>
      <w:tr>
        <w:tc>
          <w:tcPr/>
          <w:p>
            <w:pPr>
              <w:pStyle w:val="Compact"/>
              <w:jc w:val="left"/>
            </w:pPr>
            <w:r>
              <w:t xml:space="preserve">PMX</w:t>
            </w:r>
          </w:p>
        </w:tc>
        <w:tc>
          <w:tcPr/>
          <w:p>
            <w:pPr>
              <w:pStyle w:val="Compact"/>
              <w:jc w:val="left"/>
            </w:pPr>
            <w:r>
              <w:rPr>
                <w:rStyle w:val="VerbatimChar"/>
              </w:rPr>
              <w:t xml:space="preserve">perm_cell / perm_ref</w:t>
            </w:r>
            <w:r>
              <w:t xml:space="preserve">, positive</w:t>
            </w:r>
          </w:p>
        </w:tc>
        <w:tc>
          <w:tcPr/>
          <w:p>
            <w:pPr>
              <w:pStyle w:val="Compact"/>
              <w:jc w:val="left"/>
            </w:pPr>
            <w:r>
              <w:rPr>
                <w:rStyle w:val="VerbatimChar"/>
              </w:rPr>
              <w:t xml:space="preserve">perm_cell</w:t>
            </w:r>
            <w:r>
              <w:t xml:space="preserve"> </w:t>
            </w:r>
            <w:r>
              <w:t xml:space="preserve">itself, positive and below 1e-4</w:t>
            </w:r>
          </w:p>
        </w:tc>
      </w:tr>
      <w:tr>
        <w:tc>
          <w:tcPr/>
          <w:p>
            <w:pPr>
              <w:pStyle w:val="Compact"/>
              <w:jc w:val="left"/>
            </w:pPr>
            <w:r>
              <w:t xml:space="preserve">Capillary pressure</w:t>
            </w:r>
          </w:p>
        </w:tc>
        <w:tc>
          <w:tcPr/>
          <w:p>
            <w:pPr>
              <w:pStyle w:val="Compact"/>
              <w:jc w:val="left"/>
            </w:pPr>
            <w:r>
              <w:t xml:space="preserve">automatically Leverett-scaled</w:t>
            </w:r>
          </w:p>
        </w:tc>
        <w:tc>
          <w:tcPr/>
          <w:p>
            <w:pPr>
              <w:pStyle w:val="Compact"/>
              <w:jc w:val="left"/>
            </w:pPr>
            <w:r>
              <w:t xml:space="preserve">not scaled unless MOP2(6) &gt; 0</w:t>
            </w:r>
          </w:p>
        </w:tc>
      </w:tr>
      <w:tr>
        <w:tc>
          <w:tcPr/>
          <w:p>
            <w:pPr>
              <w:pStyle w:val="Compact"/>
              <w:jc w:val="left"/>
            </w:pPr>
            <w:r>
              <w:t xml:space="preserve">PMX = 0</w:t>
            </w:r>
          </w:p>
        </w:tc>
        <w:tc>
          <w:tcPr/>
          <w:p>
            <w:pPr>
              <w:pStyle w:val="Compact"/>
              <w:jc w:val="left"/>
            </w:pPr>
            <w:r>
              <w:t xml:space="preserve">impermeable element</w:t>
            </w:r>
          </w:p>
        </w:tc>
        <w:tc>
          <w:tcPr/>
          <w:p>
            <w:pPr>
              <w:pStyle w:val="Compact"/>
              <w:jc w:val="left"/>
            </w:pPr>
            <w:r>
              <w:t xml:space="preserve">not a valid permeability</w:t>
            </w:r>
          </w:p>
        </w:tc>
      </w:tr>
    </w:tbl>
    <w:p>
      <w:pPr>
        <w:pStyle w:val="BodyText"/>
      </w:pPr>
      <w:r>
        <w:t xml:space="preserve">A negative PMX without</w:t>
      </w:r>
      <w:r>
        <w:t xml:space="preserve"> </w:t>
      </w:r>
      <w:r>
        <w:rPr>
          <w:rStyle w:val="VerbatimChar"/>
        </w:rPr>
        <w:t xml:space="preserve">SEED</w:t>
      </w:r>
      <w:r>
        <w:t xml:space="preserve"> </w:t>
      </w:r>
      <w:r>
        <w:t xml:space="preserve">is also read as a multiplier. A positive value of 1e-4 or more is not read as an absolute permeability.</w:t>
      </w:r>
    </w:p>
    <w:p>
      <w:pPr>
        <w:pStyle w:val="BodyText"/>
      </w:pPr>
      <w:r>
        <w:t xml:space="preserve">The</w:t>
      </w:r>
      <w:r>
        <w:t xml:space="preserve"> </w:t>
      </w:r>
      <w:r>
        <w:rPr>
          <w:rStyle w:val="VerbatimChar"/>
        </w:rPr>
        <w:t xml:space="preserve">SEED</w:t>
      </w:r>
      <w:r>
        <w:t xml:space="preserve"> </w:t>
      </w:r>
      <w:r>
        <w:t xml:space="preserve">record is a flag. Its DROK and POR are random-number seeds for internal generation, and PER(2) is a shift (n = PMX - PER(2)), so write all of them as zero:</w:t>
      </w:r>
      <w:r>
        <w:t xml:space="preserve"> </w:t>
      </w:r>
      <w:r>
        <w:rPr>
          <w:rStyle w:val="VerbatimChar"/>
        </w:rPr>
        <w:t xml:space="preserve">SEED</w:t>
      </w:r>
      <w:r>
        <w:t xml:space="preserve"> </w:t>
      </w:r>
      <w:r>
        <w:t xml:space="preserve">followed by zeros. Put it last in ROCKS so numeric rock indices in MA1/MA2 do not move, and assign no elements to it.</w:t>
      </w:r>
    </w:p>
    <w:p>
      <w:pPr>
        <w:pStyle w:val="BodyText"/>
      </w:pPr>
      <w:r>
        <w:t xml:space="preserve">Choosing</w:t>
      </w:r>
      <w:r>
        <w:t xml:space="preserve"> </w:t>
      </w:r>
      <w:r>
        <w:rPr>
          <w:rStyle w:val="VerbatimChar"/>
        </w:rPr>
        <w:t xml:space="preserve">perm_ref</w:t>
      </w:r>
      <w:r>
        <w:t xml:space="preserve">: for a continuous</w:t>
      </w:r>
      <w:r>
        <w:t xml:space="preserve"> </w:t>
      </w:r>
      <w:r>
        <w:rPr>
          <w:rStyle w:val="VerbatimChar"/>
        </w:rPr>
        <w:t xml:space="preserve">perm_cell</w:t>
      </w:r>
      <w:r>
        <w:t xml:space="preserve">, use the geometric mean so PMX centers near 1. For per-material permeabilities, the module docstring already says connections default to the first permeability, so</w:t>
      </w:r>
      <w:r>
        <w:t xml:space="preserve"> </w:t>
      </w:r>
      <w:r>
        <w:rPr>
          <w:rStyle w:val="VerbatimChar"/>
        </w:rPr>
        <w:t xml:space="preserve">perm[0]</w:t>
      </w:r>
      <w:r>
        <w:t xml:space="preserve"> </w:t>
      </w:r>
      <w:r>
        <w:t xml:space="preserve">keeps that behavior. Write</w:t>
      </w:r>
      <w:r>
        <w:t xml:space="preserve"> </w:t>
      </w:r>
      <w:r>
        <w:rPr>
          <w:rStyle w:val="VerbatimChar"/>
        </w:rPr>
        <w:t xml:space="preserve">perm_ref</w:t>
      </w:r>
      <w:r>
        <w:t xml:space="preserve"> </w:t>
      </w:r>
      <w:r>
        <w:t xml:space="preserve">into PER(1..3) of the real rock record.</w:t>
      </w:r>
      <w:r>
        <w:t xml:space="preserve"> </w:t>
      </w:r>
      <w:r>
        <w:rPr>
          <w:rStyle w:val="VerbatimChar"/>
        </w:rPr>
        <w:t xml:space="preserve">tough.py</w:t>
      </w:r>
      <w:r>
        <w:t xml:space="preserve"> </w:t>
      </w:r>
      <w:r>
        <w:t xml:space="preserve">does not write ROCKS today, so add a small splice helper like</w:t>
      </w:r>
      <w:r>
        <w:t xml:space="preserve"> </w:t>
      </w:r>
      <w:r>
        <w:rPr>
          <w:rStyle w:val="VerbatimChar"/>
        </w:rPr>
        <w:t xml:space="preserve">write_infile_incon_block</w:t>
      </w:r>
      <w:r>
        <w:t xml:space="preserve"> </w:t>
      </w:r>
      <w:r>
        <w:t xml:space="preserve">does for INCON.</w:t>
      </w:r>
    </w:p>
    <w:bookmarkEnd w:id="23"/>
    <w:bookmarkStart w:id="24" w:name="proposed-api-changes"/>
    <w:p>
      <w:pPr>
        <w:pStyle w:val="Heading2"/>
      </w:pPr>
      <w:r>
        <w:t xml:space="preserve">Proposed API changes</w:t>
      </w:r>
    </w:p>
    <w:p>
      <w:pPr>
        <w:pStyle w:val="SourceCode"/>
      </w:pPr>
      <w:r>
        <w:rPr>
          <w:rStyle w:val="KeywordTok"/>
        </w:rPr>
        <w:t xml:space="preserve">def</w:t>
      </w:r>
      <w:r>
        <w:rPr>
          <w:rStyle w:val="NormalTok"/>
        </w:rPr>
        <w:t xml:space="preserve"> convert_uge_to_tough(</w:t>
      </w:r>
      <w:r>
        <w:rPr>
          <w:rStyle w:val="VariableTok"/>
        </w:rPr>
        <w:t xml:space="preserve">self</w:t>
      </w:r>
      <w:r>
        <w:rPr>
          <w:rStyle w:val="NormalTok"/>
        </w:rPr>
        <w:t xml:space="preserve">, ..., perm_cell</w:t>
      </w:r>
      <w:r>
        <w:rPr>
          <w:rStyle w:val="OperatorTok"/>
        </w:rPr>
        <w:t xml:space="preserve">=</w:t>
      </w:r>
      <w:r>
        <w:rPr>
          <w:rStyle w:val="VariableTok"/>
        </w:rPr>
        <w:t xml:space="preserve">None</w:t>
      </w:r>
      <w:r>
        <w:rPr>
          <w:rStyle w:val="NormalTok"/>
        </w:rPr>
        <w:t xml:space="preserve">, perm_ref</w:t>
      </w:r>
      <w:r>
        <w:rPr>
          <w:rStyle w:val="OperatorTok"/>
        </w:rPr>
        <w:t xml:space="preserve">=</w:t>
      </w:r>
      <w:r>
        <w:rPr>
          <w:rStyle w:val="VariableTok"/>
        </w:rPr>
        <w:t xml:space="preserve">None</w:t>
      </w:r>
      <w:r>
        <w:rPr>
          <w:rStyle w:val="NormalTok"/>
        </w:rPr>
        <w:t xml:space="preserve">,</w:t>
      </w:r>
      <w:r>
        <w:br/>
      </w:r>
      <w:r>
        <w:rPr>
          <w:rStyle w:val="NormalTok"/>
        </w:rPr>
        <w:t xml:space="preserve">                         pmx_mode</w:t>
      </w:r>
      <w:r>
        <w:rPr>
          <w:rStyle w:val="OperatorTok"/>
        </w:rPr>
        <w:t xml:space="preserve">=</w:t>
      </w:r>
      <w:r>
        <w:rPr>
          <w:rStyle w:val="StringTok"/>
        </w:rPr>
        <w:t xml:space="preserve">"multiplier"</w:t>
      </w:r>
      <w:r>
        <w:rPr>
          <w:rStyle w:val="NormalTok"/>
        </w:rPr>
        <w:t xml:space="preserve">):</w:t>
      </w:r>
      <w:r>
        <w:br/>
      </w:r>
      <w:r>
        <w:rPr>
          <w:rStyle w:val="NormalTok"/>
        </w:rPr>
        <w:t xml:space="preserve">    ...</w:t>
      </w:r>
      <w:r>
        <w:br/>
      </w:r>
      <w:r>
        <w:rPr>
          <w:rStyle w:val="NormalTok"/>
        </w:rPr>
        <w:t xml:space="preserve">    </w:t>
      </w:r>
      <w:r>
        <w:rPr>
          <w:rStyle w:val="CommentTok"/>
        </w:rPr>
        <w:t xml:space="preserve"># inside the ELEME loop, replacing {'':10s}</w:t>
      </w:r>
      <w:r>
        <w:br/>
      </w:r>
      <w:r>
        <w:rPr>
          <w:rStyle w:val="NormalTok"/>
        </w:rPr>
        <w:t xml:space="preserve">    pmx </w:t>
      </w:r>
      <w:r>
        <w:rPr>
          <w:rStyle w:val="OperatorTok"/>
        </w:rPr>
        <w:t xml:space="preserve">=</w:t>
      </w:r>
      <w:r>
        <w:rPr>
          <w:rStyle w:val="NormalTok"/>
        </w:rPr>
        <w:t xml:space="preserve"> _pmx_value(perm_cell, perm_ref, pmx_mode, i)   </w:t>
      </w:r>
      <w:r>
        <w:rPr>
          <w:rStyle w:val="CommentTok"/>
        </w:rPr>
        <w:t xml:space="preserve"># '' if perm_cell is None</w:t>
      </w:r>
      <w:r>
        <w:br/>
      </w:r>
      <w:r>
        <w:br/>
      </w:r>
      <w:r>
        <w:rPr>
          <w:rStyle w:val="KeywordTok"/>
        </w:rPr>
        <w:t xml:space="preserve">def</w:t>
      </w:r>
      <w:r>
        <w:rPr>
          <w:rStyle w:val="NormalTok"/>
        </w:rPr>
        <w:t xml:space="preserve"> lagrit_to_tough(</w:t>
      </w:r>
      <w:r>
        <w:rPr>
          <w:rStyle w:val="VariableTok"/>
        </w:rPr>
        <w:t xml:space="preserve">self</w:t>
      </w:r>
      <w:r>
        <w:rPr>
          <w:rStyle w:val="NormalTok"/>
        </w:rPr>
        <w:t xml:space="preserve">, ..., perm_cell</w:t>
      </w:r>
      <w:r>
        <w:rPr>
          <w:rStyle w:val="OperatorTok"/>
        </w:rPr>
        <w:t xml:space="preserve">=</w:t>
      </w:r>
      <w:r>
        <w:rPr>
          <w:rStyle w:val="VariableTok"/>
        </w:rPr>
        <w:t xml:space="preserve">None</w:t>
      </w:r>
      <w:r>
        <w:rPr>
          <w:rStyle w:val="NormalTok"/>
        </w:rPr>
        <w:t xml:space="preserve">, perm_ref</w:t>
      </w:r>
      <w:r>
        <w:rPr>
          <w:rStyle w:val="OperatorTok"/>
        </w:rPr>
        <w:t xml:space="preserve">=</w:t>
      </w:r>
      <w:r>
        <w:rPr>
          <w:rStyle w:val="VariableTok"/>
        </w:rPr>
        <w:t xml:space="preserve">None</w:t>
      </w:r>
      <w:r>
        <w:rPr>
          <w:rStyle w:val="NormalTok"/>
        </w:rPr>
        <w:t xml:space="preserve">, pmx_mode</w:t>
      </w:r>
      <w:r>
        <w:rPr>
          <w:rStyle w:val="OperatorTok"/>
        </w:rPr>
        <w:t xml:space="preserve">=</w:t>
      </w:r>
      <w:r>
        <w:rPr>
          <w:rStyle w:val="StringTok"/>
        </w:rPr>
        <w:t xml:space="preserve">"multiplier"</w:t>
      </w:r>
      <w:r>
        <w:rPr>
          <w:rStyle w:val="NormalTok"/>
        </w:rPr>
        <w:t xml:space="preserve">):</w:t>
      </w:r>
      <w:r>
        <w:br/>
      </w:r>
      <w:r>
        <w:rPr>
          <w:rStyle w:val="NormalTok"/>
        </w:rPr>
        <w:t xml:space="preserve">    ...   </w:t>
      </w:r>
      <w:r>
        <w:rPr>
          <w:rStyle w:val="CommentTok"/>
        </w:rPr>
        <w:t xml:space="preserve"># pass straight through</w:t>
      </w:r>
      <w:r>
        <w:br/>
      </w:r>
      <w:r>
        <w:br/>
      </w:r>
      <w:r>
        <w:rPr>
          <w:rStyle w:val="KeywordTok"/>
        </w:rPr>
        <w:t xml:space="preserve">def</w:t>
      </w:r>
      <w:r>
        <w:rPr>
          <w:rStyle w:val="NormalTok"/>
        </w:rPr>
        <w:t xml:space="preserve"> write_infile_seed_rock(</w:t>
      </w:r>
      <w:r>
        <w:rPr>
          <w:rStyle w:val="VariableTok"/>
        </w:rPr>
        <w:t xml:space="preserve">self</w:t>
      </w:r>
      <w:r>
        <w:rPr>
          <w:rStyle w:val="NormalTok"/>
        </w:rPr>
        <w:t xml:space="preserve">, infile_path, perm_ref, output_path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"""Add the all-zero SEED record last in ROCKS and set PER(1..3) to perm_ref."""</w:t>
      </w:r>
    </w:p>
    <w:p>
      <w:pPr>
        <w:pStyle w:val="FirstParagraph"/>
      </w:pPr>
      <w:r>
        <w:t xml:space="preserve">Validation before writing any element:</w:t>
      </w:r>
    </w:p>
    <w:p>
      <w:pPr>
        <w:numPr>
          <w:ilvl w:val="0"/>
          <w:numId w:val="1003"/>
        </w:numPr>
        <w:pStyle w:val="Compact"/>
      </w:pPr>
      <w:r>
        <w:rPr>
          <w:rStyle w:val="VerbatimChar"/>
        </w:rPr>
        <w:t xml:space="preserve">len(perm_cell)</w:t>
      </w:r>
      <w:r>
        <w:t xml:space="preserve"> </w:t>
      </w:r>
      <w:r>
        <w:t xml:space="preserve">equals the UGE CELLS count, and every value is finite and positive.</w:t>
      </w:r>
    </w:p>
    <w:p>
      <w:pPr>
        <w:numPr>
          <w:ilvl w:val="0"/>
          <w:numId w:val="1003"/>
        </w:numPr>
        <w:pStyle w:val="Compact"/>
      </w:pPr>
      <w:r>
        <w:rPr>
          <w:rStyle w:val="VerbatimChar"/>
        </w:rPr>
        <w:t xml:space="preserve">perm_ref</w:t>
      </w:r>
      <w:r>
        <w:t xml:space="preserve"> </w:t>
      </w:r>
      <w:r>
        <w:t xml:space="preserve">is positive. In absolute mode,</w:t>
      </w:r>
      <w:r>
        <w:t xml:space="preserve"> </w:t>
      </w:r>
      <w:r>
        <w:rPr>
          <w:rStyle w:val="VerbatimChar"/>
        </w:rPr>
        <w:t xml:space="preserve">max(perm_cell)</w:t>
      </w:r>
      <w:r>
        <w:t xml:space="preserve"> </w:t>
      </w:r>
      <w:r>
        <w:t xml:space="preserve">is below 1e-4.</w:t>
      </w:r>
    </w:p>
    <w:p>
      <w:pPr>
        <w:numPr>
          <w:ilvl w:val="0"/>
          <w:numId w:val="1003"/>
        </w:numPr>
        <w:pStyle w:val="Compact"/>
      </w:pPr>
      <w:r>
        <w:t xml:space="preserve">Log the element count, min, max and geometric mean of PMX, and</w:t>
      </w:r>
      <w:r>
        <w:t xml:space="preserve"> </w:t>
      </w:r>
      <w:r>
        <w:rPr>
          <w:rStyle w:val="VerbatimChar"/>
        </w:rPr>
        <w:t xml:space="preserve">perm_ref</w:t>
      </w:r>
      <w:r>
        <w:t xml:space="preserve">, so a wrong unit shows up in the log.</w:t>
      </w:r>
    </w:p>
    <w:p>
      <w:pPr>
        <w:pStyle w:val="FirstParagraph"/>
      </w:pPr>
      <w:r>
        <w:t xml:space="preserve">Interface weighting: the default MOP(11) = 0 upstream-weights permeability at interfaces (see the MOP list in the run log). For a heterogeneous field, MOP(11) = 2 gives harmonic-weighted permeability with upstream mobilities, and 3 averages the mobilities too. This matters most where fractures with different permeability meet at an intersection, and harmonic weighting is the closer match to a PFLOTRAN-style cell-permeability field.</w:t>
      </w:r>
    </w:p>
    <w:bookmarkEnd w:id="24"/>
    <w:bookmarkStart w:id="25" w:name="boundary-conditions"/>
    <w:p>
      <w:pPr>
        <w:pStyle w:val="Heading2"/>
      </w:pPr>
      <w:r>
        <w:t xml:space="preserve">Boundary conditions</w:t>
      </w:r>
    </w:p>
    <w:p>
      <w:pPr>
        <w:pStyle w:val="FirstParagraph"/>
      </w:pPr>
      <w:r>
        <w:t xml:space="preserve">Boundary nodes already get two treatments: volume 1e51 in</w:t>
      </w:r>
      <w:r>
        <w:t xml:space="preserve"> </w:t>
      </w:r>
      <w:r>
        <w:rPr>
          <w:rStyle w:val="VerbatimChar"/>
        </w:rPr>
        <w:t xml:space="preserve">convert_uge_to_tough</w:t>
      </w:r>
      <w:r>
        <w:t xml:space="preserve"> </w:t>
      </w:r>
      <w:r>
        <w:t xml:space="preserve">(</w:t>
      </w:r>
      <w:r>
        <w:rPr>
          <w:rStyle w:val="VerbatimChar"/>
        </w:rPr>
        <w:t xml:space="preserve">boundary_nodes</w:t>
      </w:r>
      <w:r>
        <w:t xml:space="preserve">) and a fixed state from the INCON writers. PMX is a third per-node property, and all three must key on the same 1-based node ids from the zone files.</w:t>
      </w:r>
    </w:p>
    <w:p>
      <w:pPr>
        <w:numPr>
          <w:ilvl w:val="0"/>
          <w:numId w:val="1004"/>
        </w:numPr>
        <w:pStyle w:val="Compact"/>
      </w:pPr>
      <w:r>
        <w:t xml:space="preserve">Give boundary elements their own cell permeability,</w:t>
      </w:r>
      <w:r>
        <w:t xml:space="preserve"> </w:t>
      </w:r>
      <w:r>
        <w:rPr>
          <w:rStyle w:val="VerbatimChar"/>
        </w:rPr>
        <w:t xml:space="preserve">perm_cell[node_id - 1] / perm_ref</w:t>
      </w:r>
      <w:r>
        <w:t xml:space="preserve">. Never 0 and never blank.</w:t>
      </w:r>
    </w:p>
    <w:p>
      <w:pPr>
        <w:numPr>
          <w:ilvl w:val="0"/>
          <w:numId w:val="1004"/>
        </w:numPr>
        <w:pStyle w:val="Compact"/>
      </w:pPr>
      <w:r>
        <w:t xml:space="preserve">It matters because the interface permeability between a boundary element and its neighbor is built from both elements. With the default MOP(11) = 0 it is upstream-weighted, so inflow across a boundary face uses the boundary element’s value and outflow uses the interior neighbor’s. With MOP(11) = 2 or 3 it is a harmonic mean, so a low-permeability boundary cell throttles the flux in both directions.</w:t>
      </w:r>
    </w:p>
    <w:p>
      <w:pPr>
        <w:numPr>
          <w:ilvl w:val="0"/>
          <w:numId w:val="1004"/>
        </w:numPr>
        <w:pStyle w:val="Compact"/>
      </w:pPr>
      <w:r>
        <w:t xml:space="preserve">A boundary cell is a real fracture cell on the domain face, so its own</w:t>
      </w:r>
      <w:r>
        <w:t xml:space="preserve"> </w:t>
      </w:r>
      <w:r>
        <w:rPr>
          <w:rStyle w:val="VerbatimChar"/>
        </w:rPr>
        <w:t xml:space="preserve">perm_cell</w:t>
      </w:r>
      <w:r>
        <w:t xml:space="preserve"> </w:t>
      </w:r>
      <w:r>
        <w:t xml:space="preserve">is the consistent choice, and it matches PFLOTRAN, where the same cell carries the same permeability under the pressure condition.</w:t>
      </w:r>
    </w:p>
    <w:p>
      <w:pPr>
        <w:numPr>
          <w:ilvl w:val="0"/>
          <w:numId w:val="1004"/>
        </w:numPr>
        <w:pStyle w:val="Compact"/>
      </w:pPr>
      <w:r>
        <w:t xml:space="preserve">The imposed pressure does not depend on PMX, only the flux does. With a correlated field, inflow along a face follows the local permeability and will be uneven.</w:t>
      </w:r>
    </w:p>
    <w:p>
      <w:pPr>
        <w:numPr>
          <w:ilvl w:val="0"/>
          <w:numId w:val="1004"/>
        </w:numPr>
        <w:pStyle w:val="Compact"/>
      </w:pPr>
      <w:r>
        <w:t xml:space="preserve">Element 1 is often a boundary node (it was in the gradient test mesh). A blank PMX on the first element disables PMX for the whole mesh, so write PMX for every element, boundary or not.</w:t>
      </w:r>
    </w:p>
    <w:p>
      <w:pPr>
        <w:numPr>
          <w:ilvl w:val="0"/>
          <w:numId w:val="1004"/>
        </w:numPr>
        <w:pStyle w:val="Compact"/>
      </w:pPr>
      <w:r>
        <w:t xml:space="preserve">Build the three pieces from one source: the union of zone-file nodes (</w:t>
      </w:r>
      <w:r>
        <w:rPr>
          <w:rStyle w:val="VerbatimChar"/>
        </w:rPr>
        <w:t xml:space="preserve">load_boundary_nodes</w:t>
      </w:r>
      <w:r>
        <w:t xml:space="preserve">) feeds both the volume override and</w:t>
      </w:r>
      <w:r>
        <w:t xml:space="preserve"> </w:t>
      </w:r>
      <w:r>
        <w:rPr>
          <w:rStyle w:val="VerbatimChar"/>
        </w:rPr>
        <w:t xml:space="preserve">write_tough_incon</w:t>
      </w:r>
      <w:r>
        <w:t xml:space="preserve">, and the same ids index</w:t>
      </w:r>
      <w:r>
        <w:t xml:space="preserve"> </w:t>
      </w:r>
      <w:r>
        <w:rPr>
          <w:rStyle w:val="VerbatimChar"/>
        </w:rPr>
        <w:t xml:space="preserve">perm_cell</w:t>
      </w:r>
      <w:r>
        <w:t xml:space="preserve">.</w:t>
      </w:r>
    </w:p>
    <w:p>
      <w:pPr>
        <w:numPr>
          <w:ilvl w:val="0"/>
          <w:numId w:val="1004"/>
        </w:numPr>
        <w:pStyle w:val="Compact"/>
      </w:pPr>
      <w:r>
        <w:t xml:space="preserve">Check: total inflow equals total outflow in the mass balance, and the effective permeability from the boundary flux matches PFLOTRAN run with the same field and boundary conditions.</w:t>
      </w:r>
    </w:p>
    <w:p>
      <w:pPr>
        <w:pStyle w:val="FirstParagraph"/>
      </w:pPr>
      <w:r>
        <w:t xml:space="preserve">Volume and node lists:</w:t>
      </w:r>
    </w:p>
    <w:p>
      <w:pPr>
        <w:numPr>
          <w:ilvl w:val="0"/>
          <w:numId w:val="1005"/>
        </w:numPr>
        <w:pStyle w:val="Compact"/>
      </w:pPr>
      <w:r>
        <w:t xml:space="preserve">Boundary elements keep the huge volume in VOLX (cols 21-30, 1e51 in the current converter) and also get a PMX in cols 41-50. The volume only holds the state, so the pressure itself comes from INCON, and both must cover exactly the same nodes.</w:t>
      </w:r>
    </w:p>
    <w:p>
      <w:pPr>
        <w:numPr>
          <w:ilvl w:val="0"/>
          <w:numId w:val="1005"/>
        </w:numPr>
        <w:pStyle w:val="Compact"/>
      </w:pPr>
      <w:r>
        <w:t xml:space="preserve">In</w:t>
      </w:r>
      <w:r>
        <w:t xml:space="preserve"> </w:t>
      </w:r>
      <w:r>
        <w:rPr>
          <w:rStyle w:val="VerbatimChar"/>
        </w:rPr>
        <w:t xml:space="preserve">convert_uge_to_tough</w:t>
      </w:r>
      <w:r>
        <w:t xml:space="preserve">, turn</w:t>
      </w:r>
      <w:r>
        <w:t xml:space="preserve"> </w:t>
      </w:r>
      <w:r>
        <w:rPr>
          <w:rStyle w:val="VerbatimChar"/>
        </w:rPr>
        <w:t xml:space="preserve">boundary_nodes</w:t>
      </w:r>
      <w:r>
        <w:t xml:space="preserve"> </w:t>
      </w:r>
      <w:r>
        <w:t xml:space="preserve">into a</w:t>
      </w:r>
      <w:r>
        <w:t xml:space="preserve"> </w:t>
      </w:r>
      <w:r>
        <w:rPr>
          <w:rStyle w:val="VerbatimChar"/>
        </w:rPr>
        <w:t xml:space="preserve">set</w:t>
      </w:r>
      <w:r>
        <w:t xml:space="preserve"> </w:t>
      </w:r>
      <w:r>
        <w:t xml:space="preserve">before the ELEME loop.</w:t>
      </w:r>
      <w:r>
        <w:t xml:space="preserve"> </w:t>
      </w:r>
      <w:r>
        <w:rPr>
          <w:rStyle w:val="VerbatimChar"/>
        </w:rPr>
        <w:t xml:space="preserve">i in boundary_nodes</w:t>
      </w:r>
      <w:r>
        <w:t xml:space="preserve"> </w:t>
      </w:r>
      <w:r>
        <w:t xml:space="preserve">on a list is a linear scan for every element.</w:t>
      </w:r>
    </w:p>
    <w:p>
      <w:pPr>
        <w:numPr>
          <w:ilvl w:val="0"/>
          <w:numId w:val="1005"/>
        </w:numPr>
        <w:pStyle w:val="Compact"/>
      </w:pPr>
      <w:r>
        <w:t xml:space="preserve">INCON needs a node list too.</w:t>
      </w:r>
      <w:r>
        <w:t xml:space="preserve"> </w:t>
      </w:r>
      <w:r>
        <w:rPr>
          <w:rStyle w:val="VerbatimChar"/>
        </w:rPr>
        <w:t xml:space="preserve">write_tough_incon</w:t>
      </w:r>
      <w:r>
        <w:t xml:space="preserve"> </w:t>
      </w:r>
      <w:r>
        <w:t xml:space="preserve">and</w:t>
      </w:r>
      <w:r>
        <w:t xml:space="preserve"> </w:t>
      </w:r>
      <w:r>
        <w:rPr>
          <w:rStyle w:val="VerbatimChar"/>
        </w:rPr>
        <w:t xml:space="preserve">write_infile_incon_block</w:t>
      </w:r>
      <w:r>
        <w:t xml:space="preserve"> </w:t>
      </w:r>
      <w:r>
        <w:t xml:space="preserve">take only zone-file paths today. Add one helper,</w:t>
      </w:r>
      <w:r>
        <w:t xml:space="preserve"> </w:t>
      </w:r>
      <w:r>
        <w:rPr>
          <w:rStyle w:val="VerbatimChar"/>
        </w:rPr>
        <w:t xml:space="preserve">resolve_nodes(self, spec)</w:t>
      </w:r>
      <w:r>
        <w:t xml:space="preserve">, that returns the sorted node ids for a zone-file path or for any iterable of ids, and call it from both INCON writers and from the volume override. Dict keys can then be a zone-file path or a tuple of ids.</w:t>
      </w:r>
    </w:p>
    <w:p>
      <w:pPr>
        <w:numPr>
          <w:ilvl w:val="0"/>
          <w:numId w:val="1005"/>
        </w:numPr>
        <w:pStyle w:val="Compact"/>
      </w:pPr>
      <w:r>
        <w:t xml:space="preserve">Build</w:t>
      </w:r>
      <w:r>
        <w:t xml:space="preserve"> </w:t>
      </w:r>
      <w:r>
        <w:rPr>
          <w:rStyle w:val="VerbatimChar"/>
        </w:rPr>
        <w:t xml:space="preserve">boundary_nodes</w:t>
      </w:r>
      <w:r>
        <w:t xml:space="preserve"> </w:t>
      </w:r>
      <w:r>
        <w:t xml:space="preserve">for the volume override as the union of the same resolved groups, so the volume list and the INCON list cannot diverge. Warn if a node appears in two groups, since the INCON writer keeps whichever is written last.</w:t>
      </w:r>
    </w:p>
    <w:bookmarkEnd w:id="25"/>
    <w:bookmarkStart w:id="26" w:name="open-items"/>
    <w:p>
      <w:pPr>
        <w:pStyle w:val="Heading2"/>
      </w:pPr>
      <w:r>
        <w:t xml:space="preserve">Open items</w:t>
      </w:r>
    </w:p>
    <w:p>
      <w:pPr>
        <w:numPr>
          <w:ilvl w:val="0"/>
          <w:numId w:val="1006"/>
        </w:numPr>
        <w:pStyle w:val="Compact"/>
      </w:pPr>
      <w:r>
        <w:t xml:space="preserve">☐ Run the two-case check in TOUGH3: ROCKS at k with PMX = ratio, against ROCKS at</w:t>
      </w:r>
      <w:r>
        <w:t xml:space="preserve"> </w:t>
      </w:r>
      <w:r>
        <w:rPr>
          <w:rStyle w:val="VerbatimChar"/>
        </w:rPr>
        <w:t xml:space="preserve">perm_ref</w:t>
      </w:r>
      <w:r>
        <w:t xml:space="preserve"> </w:t>
      </w:r>
      <w:r>
        <w:t xml:space="preserve">with the same PMX field. They should differ only as the field dictates, and a uniform PMX of 1 should reproduce the no-PMX run.</w:t>
      </w:r>
    </w:p>
    <w:p>
      <w:pPr>
        <w:numPr>
          <w:ilvl w:val="0"/>
          <w:numId w:val="1006"/>
        </w:numPr>
        <w:pStyle w:val="Compact"/>
      </w:pPr>
      <w:r>
        <w:t xml:space="preserve">☐ Confirm</w:t>
      </w:r>
      <w:r>
        <w:t xml:space="preserve"> </w:t>
      </w:r>
      <w:r>
        <w:rPr>
          <w:rStyle w:val="VerbatimChar"/>
        </w:rPr>
        <w:t xml:space="preserve">perm_cell_file</w:t>
      </w:r>
      <w:r>
        <w:t xml:space="preserve"> </w:t>
      </w:r>
      <w:r>
        <w:t xml:space="preserve">row order matches the UGE CELLS order.</w:t>
      </w:r>
    </w:p>
    <w:p>
      <w:pPr>
        <w:numPr>
          <w:ilvl w:val="0"/>
          <w:numId w:val="1006"/>
        </w:numPr>
        <w:pStyle w:val="Compact"/>
      </w:pPr>
      <w:r>
        <w:t xml:space="preserve">☐ Confirm the boundary-element rule with the mass-balance and PFLOTRAN checks in the boundary conditions section.</w:t>
      </w:r>
    </w:p>
    <w:p>
      <w:pPr>
        <w:numPr>
          <w:ilvl w:val="0"/>
          <w:numId w:val="1006"/>
        </w:numPr>
        <w:pStyle w:val="Compact"/>
      </w:pPr>
      <w:r>
        <w:t xml:space="preserve">☐ The INCON writers assume TOUGH+ (blank porosity ignores the entry, per the comment in</w:t>
      </w:r>
      <w:r>
        <w:t xml:space="preserve"> </w:t>
      </w:r>
      <w:r>
        <w:rPr>
          <w:rStyle w:val="VerbatimChar"/>
        </w:rPr>
        <w:t xml:space="preserve">write_tough_incon</w:t>
      </w:r>
      <w:r>
        <w:t xml:space="preserve">). The TOUGH3 guide says a zero or blank PORX falls back to ROCKS porosity when</w:t>
      </w:r>
      <w:r>
        <w:t xml:space="preserve"> </w:t>
      </w:r>
      <w:r>
        <w:rPr>
          <w:rStyle w:val="VerbatimChar"/>
        </w:rPr>
        <w:t xml:space="preserve">START</w:t>
      </w:r>
      <w:r>
        <w:t xml:space="preserve"> </w:t>
      </w:r>
      <w:r>
        <w:t xml:space="preserve">is used, so recheck that for TOUGH3. Porosity stays a single ROCKS value, not per cell.</w:t>
      </w:r>
    </w:p>
    <w:p>
      <w:pPr>
        <w:numPr>
          <w:ilvl w:val="0"/>
          <w:numId w:val="1006"/>
        </w:numPr>
        <w:pStyle w:val="Compact"/>
      </w:pPr>
      <w:r>
        <w:t xml:space="preserve">☐ Check the EOS: the primary variables written by the INCON writers depend on the module (EOS1 takes pressure and temperature only).</w:t>
      </w:r>
    </w:p>
    <w:p>
      <w:pPr>
        <w:numPr>
          <w:ilvl w:val="0"/>
          <w:numId w:val="1006"/>
        </w:numPr>
        <w:pStyle w:val="Compact"/>
      </w:pPr>
      <w:r>
        <w:t xml:space="preserve">☐ Under</w:t>
      </w:r>
      <w:r>
        <w:t xml:space="preserve"> </w:t>
      </w:r>
      <w:r>
        <w:rPr>
          <w:rStyle w:val="VerbatimChar"/>
        </w:rPr>
        <w:t xml:space="preserve">SEED</w:t>
      </w:r>
      <w:r>
        <w:t xml:space="preserve">, capillary pressure is rescaled by the modifier. Check this is acceptable for any two-phase runs.</w:t>
      </w:r>
    </w:p>
    <w:p>
      <w:pPr>
        <w:numPr>
          <w:ilvl w:val="0"/>
          <w:numId w:val="1006"/>
        </w:numPr>
        <w:pStyle w:val="Compact"/>
      </w:pPr>
      <w:r>
        <w:t xml:space="preserve">☐ If anisotropy is needed later, ELEME has three USERX values and MOP2(20) = 1 reads them from cols 81-110.</w:t>
      </w:r>
    </w:p>
    <w:p>
      <w:pPr>
        <w:pStyle w:val="FirstParagraph"/>
      </w:pPr>
      <w:r>
        <w:t xml:space="preserve">Sources: TOUGH3 User’s Guide (ROCKS domain SEED, ELEME PMX and USERX, MOP2 table) and the MOP(11) listing in the user’s TOUGH3 run log. Not yet run against TOUGH3.</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tough.py: Cell-Based Permeability via PMX</dc:title>
  <dc:creator/>
  <cp:keywords/>
  <dcterms:created xsi:type="dcterms:W3CDTF">2026-10-20T22:45:56Z</dcterms:created>
  <dcterms:modified xsi:type="dcterms:W3CDTF">2026-10-20T22:45:56Z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2026-10-20</vt:lpwstr>
  </property>
</Properties>
</file>