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Project Proposal: Monte Carlo Tree Search for Target-Conditioned Materials Synthesis Planning</w:t>
      </w:r>
    </w:p>
    <w:p>
      <w:pPr>
        <w:spacing w:after="240"/>
        <w:jc w:val="center"/>
      </w:pPr>
      <w:r>
        <w:rPr>
          <w:i/>
          <w:color w:val="595959"/>
          <w:sz w:val="22"/>
        </w:rPr>
        <w:t>A synthesis-first framework for inorganic materials synthesis route generation using structured grammars, thermodynamic heuristics, literature retrieval, and retrieval-grounded LLM judging</w:t>
      </w:r>
    </w:p>
    <w:p>
      <w:pPr>
        <w:pStyle w:val="Heading1"/>
      </w:pPr>
      <w:r>
        <w:t>Abstract</w:t>
      </w:r>
    </w:p>
    <w:p>
      <w:pPr/>
      <w:r>
        <w:t>Computational materials discovery increasingly proposes crystalline inorganic compounds with attractive stability and property profiles, but the rate-limiting step remains experimental realization. The proposed project develops a target-conditioned synthesis planner that treats inorganic synthesis as a sequential decision problem rather than as a post hoc annotation on a discovered material. Given a target material, synthesis modality, precursor inventory, and laboratory constraints, the framework will use Monte Carlo Tree Search (MCTS) to explore a structured synthesis-action space over precursors, operations, and conditions. Search will be guided by hard chemical constraints, thermodynamic and kinetic heuristics, literature-derived route analogies, and a retrieval-grounded large language model (LLM) judge that evaluates route plausibility, missing steps, condition compatibility, and likely failure modes. The initial scope will focus on solid-state synthesis of crystalline inorganic powders, with an explicit extension path to hydrothermal and precipitation routes. The primary output will be a ranked set of executable synthesis routes, not a new composition. This synthesis-first formulation provides a clean, benchmarkable problem that can later be coupled to MCTS-based materials discovery as a synthesizability filter or reward term.</w:t>
      </w:r>
    </w:p>
    <w:p>
      <w:pPr>
        <w:pStyle w:val="Heading1"/>
      </w:pPr>
      <w:r>
        <w:t>1. Executive Summary</w:t>
      </w:r>
    </w:p>
    <w:p>
      <w:pPr/>
      <w:r>
        <w:t>The central scientific opportunity is to move MCTS from searching composition or structure space into searching synthesis-procedure space. MCTS has been successful in organic retrosynthesis, where molecules can often be recursively decomposed into simpler precursors. In inorganic materials, however, synthesis is more process-like: precursor identity, particle mixing, atmosphere, thermal schedule, intermediate phase formation, volatility, and kinetic accessibility can determine whether a thermodynamically stable target phase is obtained. This abstractness has made materials synthesis planning harder to formulate as a search problem.</w:t>
      </w:r>
    </w:p>
    <w:p>
      <w:pPr/>
      <w:r>
        <w:t>The proposed project addresses that gap by defining a constrained synthesis grammar and using MCTS to construct candidate procedures step by step. The project does not require complete mechanistic knowledge of every reaction pathway. Instead, it combines structured constraints with data-driven priors and plausibility scoring. The outcome is a ranked portfolio of plausible routes for a target material, along with interpretable evidence and route-level uncertainty.</w:t>
      </w:r>
    </w:p>
    <w:p>
      <w:pPr/>
      <w:r>
        <w:t>The project is intentionally framed as synthesis planning rather than simultaneous material discovery and synthesis. This separation makes the problem more experimentally grounded, enables retrospective benchmarking against text-mined synthesis datasets, and avoids ambiguity about whether failure arises from material selection, route selection, property prediction, or process-property coupling. Once validated, the planner can be integrated into the existing MCTS + MACE + DFT discovery workflow as a synthesizability-aware downstream module.</w:t>
      </w:r>
    </w:p>
    <w:p>
      <w:pPr>
        <w:pStyle w:val="Heading2"/>
      </w:pPr>
      <w:r>
        <w:t>Project thesis</w:t>
      </w:r>
    </w:p>
    <w:p>
      <w:pPr/>
      <w:r>
        <w:t>A target-conditioned inorganic synthesis planner can be built by combining a structured synthesis grammar, MCTS-based sequential search, literature-derived route priors, thermodynamic and condition heuristics, and a calibrated LLM-as-judge that evaluates route plausibility only in the presence of retrieved evidence and hard chemistry checks.</w:t>
      </w:r>
    </w:p>
    <w:p>
      <w:pPr>
        <w:pStyle w:val="Heading2"/>
      </w:pPr>
      <w:r>
        <w:t>Primary deliverable</w:t>
      </w:r>
    </w:p>
    <w:p>
      <w:pPr/>
      <w:r>
        <w:t>The primary deliverable is an algorithmic framework that accepts a target inorganic material and returns a ranked set of candidate synthesis routes. Each route should specify precursor identities, stoichiometric ratios or excesses, synthesis operations, heating or solution conditions, atmosphere, intermediate processing steps, and an uncertainty-aware plausibility score.</w:t>
      </w:r>
    </w:p>
    <w:p>
      <w:pPr>
        <w:pStyle w:val="Heading1"/>
      </w:pPr>
      <w:r>
        <w:t>2. Specific Aims</w:t>
      </w:r>
    </w:p>
    <w:p>
      <w:pPr>
        <w:pStyle w:val="Heading2"/>
      </w:pPr>
      <w:r>
        <w:t>Aim 1: Define a machine-actionable synthesis grammar for inorganic materials</w:t>
      </w:r>
    </w:p>
    <w:p>
      <w:pPr/>
      <w:r>
        <w:t>The project will define a finite grammar for target-conditioned synthesis planning. For the initial solid-state focus, the grammar will include precursor selection, stoichiometric balancing, mixing and milling, pelletizing if applicable, calcination or sintering temperature, dwell time, ramp schedule, atmosphere, regrinding, second annealing, quenching, and route termination. The grammar will be designed to be expressive enough to represent common literature recipes while constrained enough to make MCTS search tractable.</w:t>
      </w:r>
    </w:p>
    <w:p>
      <w:pPr>
        <w:pStyle w:val="Heading2"/>
      </w:pPr>
      <w:r>
        <w:t>Aim 2: Build route priors and value functions from synthesis datasets</w:t>
      </w:r>
    </w:p>
    <w:p>
      <w:pPr/>
      <w:r>
        <w:t>The project will use literature-mined solid-state and solution-based inorganic synthesis datasets to learn precursor preferences, operation sequences, condition ranges, and target-recipe similarity. The data will be normalized into a common route schema that supports retrieval, statistical priors, and supervised or weakly supervised scoring. Thermodynamic data from Materials Project-style phase stability calculations, DFT, and MACE-based surrogate calculations will be used to provide complementary physics-based scores.</w:t>
      </w:r>
    </w:p>
    <w:p>
      <w:pPr>
        <w:pStyle w:val="Heading2"/>
      </w:pPr>
      <w:r>
        <w:t>Aim 3: Develop an MCTS planner guided by constraints, retrieval, and LLM judging</w:t>
      </w:r>
    </w:p>
    <w:p>
      <w:pPr/>
      <w:r>
        <w:t>The MCTS planner will construct candidate synthesis routes through selection, expansion, rollout, and backup. Expansion will be guided by a policy prior derived from retrieval and learned route statistics. Terminal and partial-state values will combine hard validity checks, thermodynamic scores, literature analogy, condition plausibility, route complexity, and a retrieval-grounded LLM judge. The LLM component will be treated as a value heuristic rather than a chemical oracle.</w:t>
      </w:r>
    </w:p>
    <w:p>
      <w:pPr>
        <w:pStyle w:val="Heading2"/>
      </w:pPr>
      <w:r>
        <w:t>Aim 4: Establish retrospective, expert, and prospective evaluation protocols</w:t>
      </w:r>
    </w:p>
    <w:p>
      <w:pPr/>
      <w:r>
        <w:t>The planner will be evaluated against held-out literature recipes, route-plausibility baselines, expert review, and prospective experimental validation where feasible. Retrospective evaluation will emphasize top-k recovery, chemical validity, operation sequence similarity, and condition accuracy. Prospective evaluation will emphasize whether ranked routes produce the target phase or a meaningful partial success under realistic laboratory constraints.</w:t>
      </w:r>
    </w:p>
    <w:p>
      <w:pPr>
        <w:pStyle w:val="Heading1"/>
      </w:pPr>
      <w:r>
        <w:t>3. Background and Significance</w:t>
      </w:r>
    </w:p>
    <w:p>
      <w:pPr/>
      <w:r>
        <w:t>MCTS has a strong precedent in organic synthesis planning. In molecular retrosynthesis, target molecules are recursively decomposed into simpler precursors, and MCTS can explore candidate reaction trees using learned expansion policies and filtering models [1]. This formulation works well when the chemistry can be represented as a network of discrete molecular transformations.</w:t>
      </w:r>
    </w:p>
    <w:p>
      <w:pPr/>
      <w:r>
        <w:t>Materials synthesis differs in several important ways. A target inorganic crystal is not usually obtained through a single discrete transformation. It is often realized through a process involving precursor decomposition, solid-state diffusion, intermediate phase formation, competing crystalline phases, non-equilibrium kinetic traps, atmosphere-dependent redox chemistry, volatile species, and microstructure evolution. The same nominal composition can require different processing choices depending on whether the desired outcome is a bulk ceramic, thin film, nanoparticle, metastable phase, defect-rich solid solution, or phase-pure powder.</w:t>
      </w:r>
    </w:p>
    <w:p>
      <w:pPr/>
      <w:r>
        <w:t>This process character explains why MCTS has appeared in materials design and discovery more often than in materials synthesis planning. Reviews of MCTS in materials science describe its use for finding candidate structures, compositions, and configurations that optimize target properties [2]. By contrast, synthesis route planning requires a different state and action representation: the search object is not a material alone, but an experimental procedure that may or may not realize the material.</w:t>
      </w:r>
    </w:p>
    <w:p>
      <w:pPr/>
      <w:r>
        <w:t>The proposed project positions synthesis planning as an independent bottleneck. A stable predicted material is not necessarily easy to make, and a property-optimized material is not useful unless a plausible route exists. The A-Lab study illustrates this gap in a modern autonomous setting: a robotic solid-state synthesis platform realized 36 of 57 target compounds, but only 30 percent of the 353 tested recipes produced their intended target [5]. These results motivate a planner that can reason over precursor choice, reaction pathway, and practical processing constraints before an experiment is executed.</w:t>
      </w:r>
    </w:p>
    <w:p>
      <w:pPr>
        <w:pStyle w:val="Heading2"/>
      </w:pPr>
      <w:r>
        <w:t>Why a synthesis-only formulation is scientifically sufficient</w:t>
      </w:r>
    </w:p>
    <w:p>
      <w:pPr/>
      <w:r>
        <w:t>The synthesis-only formulation is strong because it isolates a hard, underdeveloped problem: target realization. In this framing, the target material is fixed. The algorithm is judged on whether it can propose plausible routes to synthesize that material. This avoids conflating composition discovery, property prediction, thermodynamic stability, and experimental route design.</w:t>
      </w:r>
    </w:p>
    <w:p>
      <w:pPr/>
      <w:r>
        <w:t>A combined discovery-plus-synthesis objective is attractive as a long-term direction, but it is less clean as an initial contribution. If a discovered material fails experimentally, the failure can arise from an unstable target, an inaccurate property model, a poor synthesis route, a missing processing variable, or a phase-purity/microstructure effect not represented in the model. A target-conditioned synthesis planner creates a more controlled testbed and a more interpretable contribution.</w:t>
      </w:r>
    </w:p>
    <w:p>
      <w:pPr/>
      <w:r>
        <w:t>The synthesis-only problem is also easier to benchmark. Literature recipes provide known successful examples. Text-mined datasets contain precursor sets, operations, conditions, and reaction formulas. Expert chemists can compare ranked route candidates. Retrospective splits can test whether the planner generalizes to unseen targets or unseen chemical systems. Prospective experiments can then test whether high-ranked routes are practically useful.</w:t>
      </w:r>
    </w:p>
    <w:p>
      <w:pPr>
        <w:pStyle w:val="Heading1"/>
      </w:pPr>
      <w:r>
        <w:t>4. Problem Definition</w:t>
      </w:r>
    </w:p>
    <w:p>
      <w:pPr/>
      <w:r>
        <w:t>The proposed task is target-conditioned inorganic synthesis planning. Given a target material T, a synthesis modality M, an accessible precursor inventory P, and laboratory constraints C, the planner searches for synthesis routes that maximize the estimated probability of obtaining T as a desired phase while minimizing cost, hazard, complexity, and unsupported extrapolation from known chemistry.</w:t>
      </w:r>
    </w:p>
    <w:p>
      <w:pPr>
        <w:pStyle w:val="EquationBlock"/>
      </w:pPr>
      <w:r>
        <w:t>Input:  target material T, synthesis modality M, precursor inventory P, constraints C</w:t>
        <w:br/>
        <w:t>Output: ranked synthesis routes tau_1, tau_2, ..., tau_k</w:t>
      </w:r>
    </w:p>
    <w:p>
      <w:pPr/>
      <w:r>
        <w:t>A route tau is represented as a structured procedure:</w:t>
      </w:r>
    </w:p>
    <w:p>
      <w:pPr>
        <w:pStyle w:val="EquationBlock"/>
      </w:pPr>
      <w:r>
        <w:t>tau = {precursors p_1...p_n; operations o_1...o_m; conditions theta_1...theta_m; optional intermediate checks}</w:t>
      </w:r>
    </w:p>
    <w:p>
      <w:pPr/>
      <w:r>
        <w:t>The route objective can be expressed as:</w:t>
      </w:r>
    </w:p>
    <w:p>
      <w:pPr>
        <w:pStyle w:val="EquationBlock"/>
      </w:pPr>
      <w:r>
        <w:t>U(tau | T, C) = P(target phase obtained | tau, T, C)</w:t>
        <w:br/>
        <w:t xml:space="preserve">              - lambda_1 cost(tau)</w:t>
        <w:br/>
        <w:t xml:space="preserve">              - lambda_2 hazard(tau)</w:t>
        <w:br/>
        <w:t xml:space="preserve">              - lambda_3 complexity(tau)</w:t>
        <w:br/>
        <w:t xml:space="preserve">              - lambda_4 unsupported_extrapolation(tau)</w:t>
      </w:r>
    </w:p>
    <w:p>
      <w:pPr/>
      <w:r>
        <w:t>The goal is not to identify the unique correct route. For many materials, multiple valid routes can exist, and published procedures often represent only a subset of experimentally viable paths. The planner should therefore return a ranked route portfolio, with each route accompanied by evidence, predicted strengths, and likely failure modes.</w:t>
      </w:r>
    </w:p>
    <w:p>
      <w:pPr>
        <w:pStyle w:val="Heading2"/>
      </w:pPr>
      <w:r>
        <w:t>Initial scope</w:t>
      </w:r>
    </w:p>
    <w:p>
      <w:pPr/>
      <w:r>
        <w:t>The recommended initial domain is solid-state synthesis of crystalline inorganic powders, especially oxides, phosphates, sulfides, nitrides, halides, and related mixed-anion or doped phases when sufficient training examples exist. Solid-state synthesis is a strong starting point because it has a constrained operation set, available text-mined data, clear thermodynamic descriptors, and direct relevance to MACE/DFT-based materials discovery.</w:t>
      </w:r>
    </w:p>
    <w:p>
      <w:pPr/>
      <w:r>
        <w:t>Solution-based synthesis can be introduced as a second branch after the solid-state planner is stable. Hydrothermal and precipitation routes require additional state variables such as solvent, concentration, pH, mineralizer, autoclave fill fraction, pressure, washing, centrifugation, drying, and post-annealing. These variables are more heterogeneous, but the solution-based synthesis dataset provides a useful basis for this extension [4].</w:t>
      </w:r>
    </w:p>
    <w:p>
      <w:pPr>
        <w:pStyle w:val="Heading1"/>
      </w:pPr>
      <w:r>
        <w:t>5. Proposed Framework</w:t>
      </w:r>
    </w:p>
    <w:p>
      <w:pPr/>
      <w:r>
        <w:t>The framework consists of six interacting components: a route schema, a synthesis grammar, a retrieval engine, physics-based scoring functions, an LLM judge, and an MCTS search controller. Each component contributes a different kind of constraint or prior.</w:t>
      </w:r>
    </w:p>
    <w:p>
      <w:r>
        <w:br w:type="page"/>
      </w:r>
    </w:p>
    <w:tbl>
      <w:tblPr>
        <w:tblStyle w:val="TableGrid"/>
        <w:tblW w:type="auto" w:w="0"/>
        <w:jc w:val="center"/>
        <w:tblLook w:firstColumn="1" w:firstRow="1" w:lastColumn="0" w:lastRow="0" w:noHBand="0" w:noVBand="1" w:val="04A0"/>
      </w:tblPr>
      <w:tblGrid>
        <w:gridCol w:w="3312"/>
        <w:gridCol w:w="3312"/>
        <w:gridCol w:w="3312"/>
      </w:tblGrid>
      <w:tr>
        <w:trPr>
          <w:tblHeader w:val="true"/>
          <w:cantSplit/>
        </w:trPr>
        <w:tc>
          <w:tcPr>
            <w:tcW w:type="dxa" w:w="3312"/>
            <w:shd w:fill="D9EAF7"/>
            <w:vAlign w:val="center"/>
          </w:tcPr>
          <w:p>
            <w:pPr>
              <w:spacing w:after="0"/>
            </w:pPr>
            <w:r/>
            <w:r>
              <w:rPr>
                <w:rFonts w:ascii="Aptos" w:hAnsi="Aptos" w:eastAsia="Aptos"/>
                <w:b/>
                <w:sz w:val="17"/>
              </w:rPr>
              <w:t>Component</w:t>
            </w:r>
          </w:p>
        </w:tc>
        <w:tc>
          <w:tcPr>
            <w:tcW w:type="dxa" w:w="3312"/>
            <w:shd w:fill="D9EAF7"/>
            <w:vAlign w:val="center"/>
          </w:tcPr>
          <w:p>
            <w:pPr>
              <w:spacing w:after="0"/>
            </w:pPr>
            <w:r/>
            <w:r>
              <w:rPr>
                <w:rFonts w:ascii="Aptos" w:hAnsi="Aptos" w:eastAsia="Aptos"/>
                <w:b/>
                <w:sz w:val="17"/>
              </w:rPr>
              <w:t>Role in the planner</w:t>
            </w:r>
          </w:p>
        </w:tc>
        <w:tc>
          <w:tcPr>
            <w:tcW w:type="dxa" w:w="3312"/>
            <w:shd w:fill="D9EAF7"/>
            <w:vAlign w:val="center"/>
          </w:tcPr>
          <w:p>
            <w:pPr>
              <w:spacing w:after="0"/>
            </w:pPr>
            <w:r/>
            <w:r>
              <w:rPr>
                <w:rFonts w:ascii="Aptos" w:hAnsi="Aptos" w:eastAsia="Aptos"/>
                <w:b/>
                <w:sz w:val="17"/>
              </w:rPr>
              <w:t>Primary outputs</w:t>
            </w:r>
          </w:p>
        </w:tc>
      </w:tr>
      <w:tr>
        <w:trPr>
          <w:cantSplit/>
        </w:trPr>
        <w:tc>
          <w:tcPr>
            <w:tcW w:type="dxa" w:w="3312"/>
            <w:vAlign w:val="top"/>
          </w:tcPr>
          <w:p>
            <w:pPr>
              <w:spacing w:after="0"/>
            </w:pPr>
            <w:r/>
            <w:r>
              <w:rPr>
                <w:rFonts w:ascii="Aptos" w:hAnsi="Aptos" w:eastAsia="Aptos"/>
                <w:b w:val="0"/>
                <w:sz w:val="16"/>
              </w:rPr>
              <w:t>Route schema</w:t>
            </w:r>
          </w:p>
        </w:tc>
        <w:tc>
          <w:tcPr>
            <w:tcW w:type="dxa" w:w="3312"/>
            <w:vAlign w:val="top"/>
          </w:tcPr>
          <w:p>
            <w:pPr>
              <w:spacing w:after="0"/>
            </w:pPr>
            <w:r/>
            <w:r>
              <w:rPr>
                <w:rFonts w:ascii="Aptos" w:hAnsi="Aptos" w:eastAsia="Aptos"/>
                <w:b w:val="0"/>
                <w:sz w:val="16"/>
              </w:rPr>
              <w:t>Canonical representation of target, precursors, operations, conditions, evidence, and scores.</w:t>
            </w:r>
          </w:p>
        </w:tc>
        <w:tc>
          <w:tcPr>
            <w:tcW w:type="dxa" w:w="3312"/>
            <w:vAlign w:val="top"/>
          </w:tcPr>
          <w:p>
            <w:pPr>
              <w:spacing w:after="0"/>
            </w:pPr>
            <w:r/>
            <w:r>
              <w:rPr>
                <w:rFonts w:ascii="Aptos" w:hAnsi="Aptos" w:eastAsia="Aptos"/>
                <w:b w:val="0"/>
                <w:sz w:val="16"/>
              </w:rPr>
              <w:t>Machine-readable route objects; route comparison; route export.</w:t>
            </w:r>
          </w:p>
        </w:tc>
      </w:tr>
      <w:tr>
        <w:trPr>
          <w:cantSplit/>
        </w:trPr>
        <w:tc>
          <w:tcPr>
            <w:tcW w:type="dxa" w:w="3312"/>
            <w:vAlign w:val="top"/>
          </w:tcPr>
          <w:p>
            <w:pPr>
              <w:spacing w:after="0"/>
            </w:pPr>
            <w:r/>
            <w:r>
              <w:rPr>
                <w:rFonts w:ascii="Aptos" w:hAnsi="Aptos" w:eastAsia="Aptos"/>
                <w:b w:val="0"/>
                <w:sz w:val="16"/>
              </w:rPr>
              <w:t>Synthesis grammar</w:t>
            </w:r>
          </w:p>
        </w:tc>
        <w:tc>
          <w:tcPr>
            <w:tcW w:type="dxa" w:w="3312"/>
            <w:vAlign w:val="top"/>
          </w:tcPr>
          <w:p>
            <w:pPr>
              <w:spacing w:after="0"/>
            </w:pPr>
            <w:r/>
            <w:r>
              <w:rPr>
                <w:rFonts w:ascii="Aptos" w:hAnsi="Aptos" w:eastAsia="Aptos"/>
                <w:b w:val="0"/>
                <w:sz w:val="16"/>
              </w:rPr>
              <w:t>Defines allowable actions and prevents the search from expanding into impossible or unsupported procedure space.</w:t>
            </w:r>
          </w:p>
        </w:tc>
        <w:tc>
          <w:tcPr>
            <w:tcW w:type="dxa" w:w="3312"/>
            <w:vAlign w:val="top"/>
          </w:tcPr>
          <w:p>
            <w:pPr>
              <w:spacing w:after="0"/>
            </w:pPr>
            <w:r/>
            <w:r>
              <w:rPr>
                <w:rFonts w:ascii="Aptos" w:hAnsi="Aptos" w:eastAsia="Aptos"/>
                <w:b w:val="0"/>
                <w:sz w:val="16"/>
              </w:rPr>
              <w:t>Valid actions for precursor choice, operation sequence, thermal or solution conditions, atmosphere, and termination.</w:t>
            </w:r>
          </w:p>
        </w:tc>
      </w:tr>
      <w:tr>
        <w:trPr>
          <w:cantSplit/>
        </w:trPr>
        <w:tc>
          <w:tcPr>
            <w:tcW w:type="dxa" w:w="3312"/>
            <w:vAlign w:val="top"/>
          </w:tcPr>
          <w:p>
            <w:pPr>
              <w:spacing w:after="0"/>
            </w:pPr>
            <w:r/>
            <w:r>
              <w:rPr>
                <w:rFonts w:ascii="Aptos" w:hAnsi="Aptos" w:eastAsia="Aptos"/>
                <w:b w:val="0"/>
                <w:sz w:val="16"/>
              </w:rPr>
              <w:t>Retrieval engine</w:t>
            </w:r>
          </w:p>
        </w:tc>
        <w:tc>
          <w:tcPr>
            <w:tcW w:type="dxa" w:w="3312"/>
            <w:vAlign w:val="top"/>
          </w:tcPr>
          <w:p>
            <w:pPr>
              <w:spacing w:after="0"/>
            </w:pPr>
            <w:r/>
            <w:r>
              <w:rPr>
                <w:rFonts w:ascii="Aptos" w:hAnsi="Aptos" w:eastAsia="Aptos"/>
                <w:b w:val="0"/>
                <w:sz w:val="16"/>
              </w:rPr>
              <w:t>Finds analogous literature recipes by target chemistry, precursor class, structure prototype, oxidation state, and synthesis modality.</w:t>
            </w:r>
          </w:p>
        </w:tc>
        <w:tc>
          <w:tcPr>
            <w:tcW w:type="dxa" w:w="3312"/>
            <w:vAlign w:val="top"/>
          </w:tcPr>
          <w:p>
            <w:pPr>
              <w:spacing w:after="0"/>
            </w:pPr>
            <w:r/>
            <w:r>
              <w:rPr>
                <w:rFonts w:ascii="Aptos" w:hAnsi="Aptos" w:eastAsia="Aptos"/>
                <w:b w:val="0"/>
                <w:sz w:val="16"/>
              </w:rPr>
              <w:t>Top-k recipe analogs; similarity features; evidence snippets and DOI metadata.</w:t>
            </w:r>
          </w:p>
        </w:tc>
      </w:tr>
      <w:tr>
        <w:trPr>
          <w:cantSplit/>
        </w:trPr>
        <w:tc>
          <w:tcPr>
            <w:tcW w:type="dxa" w:w="3312"/>
            <w:vAlign w:val="top"/>
          </w:tcPr>
          <w:p>
            <w:pPr>
              <w:spacing w:after="0"/>
            </w:pPr>
            <w:r/>
            <w:r>
              <w:rPr>
                <w:rFonts w:ascii="Aptos" w:hAnsi="Aptos" w:eastAsia="Aptos"/>
                <w:b w:val="0"/>
                <w:sz w:val="16"/>
              </w:rPr>
              <w:t>Physics-based scorers</w:t>
            </w:r>
          </w:p>
        </w:tc>
        <w:tc>
          <w:tcPr>
            <w:tcW w:type="dxa" w:w="3312"/>
            <w:vAlign w:val="top"/>
          </w:tcPr>
          <w:p>
            <w:pPr>
              <w:spacing w:after="0"/>
            </w:pPr>
            <w:r/>
            <w:r>
              <w:rPr>
                <w:rFonts w:ascii="Aptos" w:hAnsi="Aptos" w:eastAsia="Aptos"/>
                <w:b w:val="0"/>
                <w:sz w:val="16"/>
              </w:rPr>
              <w:t>Provide hard checks and quantitative features from stoichiometry, thermodynamics, competing phases, and route energetics.</w:t>
            </w:r>
          </w:p>
        </w:tc>
        <w:tc>
          <w:tcPr>
            <w:tcW w:type="dxa" w:w="3312"/>
            <w:vAlign w:val="top"/>
          </w:tcPr>
          <w:p>
            <w:pPr>
              <w:spacing w:after="0"/>
            </w:pPr>
            <w:r/>
            <w:r>
              <w:rPr>
                <w:rFonts w:ascii="Aptos" w:hAnsi="Aptos" w:eastAsia="Aptos"/>
                <w:b w:val="0"/>
                <w:sz w:val="16"/>
              </w:rPr>
              <w:t>Balanced reactions, decomposition energies, reaction driving forces, phase-competition flags, volatility/redox heuristics.</w:t>
            </w:r>
          </w:p>
        </w:tc>
      </w:tr>
      <w:tr>
        <w:trPr>
          <w:cantSplit/>
        </w:trPr>
        <w:tc>
          <w:tcPr>
            <w:tcW w:type="dxa" w:w="3312"/>
            <w:vAlign w:val="top"/>
          </w:tcPr>
          <w:p>
            <w:pPr>
              <w:spacing w:after="0"/>
            </w:pPr>
            <w:r/>
            <w:r>
              <w:rPr>
                <w:rFonts w:ascii="Aptos" w:hAnsi="Aptos" w:eastAsia="Aptos"/>
                <w:b w:val="0"/>
                <w:sz w:val="16"/>
              </w:rPr>
              <w:t>LLM judge</w:t>
            </w:r>
          </w:p>
        </w:tc>
        <w:tc>
          <w:tcPr>
            <w:tcW w:type="dxa" w:w="3312"/>
            <w:vAlign w:val="top"/>
          </w:tcPr>
          <w:p>
            <w:pPr>
              <w:spacing w:after="0"/>
            </w:pPr>
            <w:r/>
            <w:r>
              <w:rPr>
                <w:rFonts w:ascii="Aptos" w:hAnsi="Aptos" w:eastAsia="Aptos"/>
                <w:b w:val="0"/>
                <w:sz w:val="16"/>
              </w:rPr>
              <w:t>Evaluates route plausibility and completeness using retrieved evidence and a fixed rubric.</w:t>
            </w:r>
          </w:p>
        </w:tc>
        <w:tc>
          <w:tcPr>
            <w:tcW w:type="dxa" w:w="3312"/>
            <w:vAlign w:val="top"/>
          </w:tcPr>
          <w:p>
            <w:pPr>
              <w:spacing w:after="0"/>
            </w:pPr>
            <w:r/>
            <w:r>
              <w:rPr>
                <w:rFonts w:ascii="Aptos" w:hAnsi="Aptos" w:eastAsia="Aptos"/>
                <w:b w:val="0"/>
                <w:sz w:val="16"/>
              </w:rPr>
              <w:t>Structured plausibility score, missing-step flags, condition compatibility notes, failure-mode hypotheses.</w:t>
            </w:r>
          </w:p>
        </w:tc>
      </w:tr>
      <w:tr>
        <w:trPr>
          <w:cantSplit/>
        </w:trPr>
        <w:tc>
          <w:tcPr>
            <w:tcW w:type="dxa" w:w="3312"/>
            <w:vAlign w:val="top"/>
          </w:tcPr>
          <w:p>
            <w:pPr>
              <w:spacing w:after="0"/>
            </w:pPr>
            <w:r/>
            <w:r>
              <w:rPr>
                <w:rFonts w:ascii="Aptos" w:hAnsi="Aptos" w:eastAsia="Aptos"/>
                <w:b w:val="0"/>
                <w:sz w:val="16"/>
              </w:rPr>
              <w:t>MCTS controller</w:t>
            </w:r>
          </w:p>
        </w:tc>
        <w:tc>
          <w:tcPr>
            <w:tcW w:type="dxa" w:w="3312"/>
            <w:vAlign w:val="top"/>
          </w:tcPr>
          <w:p>
            <w:pPr>
              <w:spacing w:after="0"/>
            </w:pPr>
            <w:r/>
            <w:r>
              <w:rPr>
                <w:rFonts w:ascii="Aptos" w:hAnsi="Aptos" w:eastAsia="Aptos"/>
                <w:b w:val="0"/>
                <w:sz w:val="16"/>
              </w:rPr>
              <w:t>Allocates search effort across partial routes and backs up route values to favor promising branches.</w:t>
            </w:r>
          </w:p>
        </w:tc>
        <w:tc>
          <w:tcPr>
            <w:tcW w:type="dxa" w:w="3312"/>
            <w:vAlign w:val="top"/>
          </w:tcPr>
          <w:p>
            <w:pPr>
              <w:spacing w:after="0"/>
            </w:pPr>
            <w:r/>
            <w:r>
              <w:rPr>
                <w:rFonts w:ascii="Aptos" w:hAnsi="Aptos" w:eastAsia="Aptos"/>
                <w:b w:val="0"/>
                <w:sz w:val="16"/>
              </w:rPr>
              <w:t>Ranked route set; uncertainty; ablation-friendly search traces.</w:t>
            </w:r>
          </w:p>
        </w:tc>
      </w:tr>
    </w:tbl>
    <w:p>
      <w:pPr>
        <w:pStyle w:val="CaptionSmall"/>
      </w:pPr>
      <w:r>
        <w:t>Table 1. Proposed components of the target-conditioned synthesis planner.</w:t>
      </w:r>
    </w:p>
    <w:p>
      <w:pPr>
        <w:pStyle w:val="Heading1"/>
      </w:pPr>
      <w:r>
        <w:t>6. Data Resources and Dataset Strategy</w:t>
      </w:r>
    </w:p>
    <w:p>
      <w:pPr/>
      <w:r>
        <w:t>The data strategy is central to the proposal. Materials synthesis data are noisy, incomplete, and biased toward successful published recipes, but existing text-mined datasets are now large enough to support grammar construction, retrieval, heuristic learning, and retrospective evaluation. The project should treat these datasets as structured evidence rather than perfect ground truth.</w:t>
      </w:r>
    </w:p>
    <w:p>
      <w:pPr>
        <w:pStyle w:val="Heading2"/>
      </w:pPr>
      <w:r>
        <w:t>6.1 Solid-state inorganic synthesis dataset</w:t>
      </w:r>
    </w:p>
    <w:p>
      <w:pPr/>
      <w:r>
        <w:t>The first core dataset is the text-mined solid-state inorganic synthesis dataset of Kononova et al. [3]. The Scientific Data description reports 19,488 synthesis entries retrieved from 53,538 solid-state synthesis paragraphs using text mining and natural language processing. The article also describes the underlying extraction as yielding 19,744 chemical reactions from those paragraphs, reflecting the distinction between synthesis entries and reaction records. Each entry contains the target material, starting compounds, operations and their conditions, and a balanced chemical equation. This dataset is particularly well aligned with a solid-state synthesis MCTS grammar because its records naturally encode precursors, operations, and temperature-dependent processing steps.</w:t>
      </w:r>
    </w:p>
    <w:p>
      <w:pPr/>
      <w:r>
        <w:t>For this project, the solid-state dataset can support at least five functions. First, it can provide precursor priors: for a target composition or element set, the dataset can reveal whether oxides, carbonates, nitrates, acetates, hydroxides, sulfides, metals, or mixed precursors are commonly used. Second, it can provide operation priors: the frequency and ordering of mixing, grinding, calcining, sintering, regrinding, annealing, quenching, and atmosphere control can be learned from extracted recipes. Third, it can provide condition priors: target families can be associated with typical temperature ranges, dwell times, and heating sequences. Fourth, it can enable retrieval: recipes for chemically similar targets can be retrieved as analogs to guide action expansion and LLM judging. Fifth, it can support retrospective benchmarking by holding out target recipes and testing whether the planner recovers plausible precursor sets and processing conditions.</w:t>
      </w:r>
    </w:p>
    <w:p>
      <w:pPr/>
      <w:r>
        <w:t>The dataset should be normalized before use. Formula strings should be parsed into elemental compositions, oxidation-state guesses, and precursor classes. Hydrates, carbonates, nitrates, acetates, ammonium salts, and volatile species should be tagged. Operations should be mapped to a controlled vocabulary, for example: mix, grind, mill, pelletize, dry, calcine, sinter, anneal, regrind, cool, quench, and characterize. Conditions should be extracted into slots such as temperature, dwell time, atmosphere, ramp rate, repetition count, and intermediate processing. Each route should be linked to the original DOI or paragraph metadata whenever available so that retrieved evidence can be traced.</w:t>
      </w:r>
    </w:p>
    <w:p>
      <w:pPr/>
      <w:r>
        <w:t>Several limitations must be modeled explicitly. The dataset is mined from successful or at least reported literature procedures, so it contains few true negative examples. It may omit tacit laboratory details such as particle size, crucible material, exact ramp rate, drying state, impurity tolerance, and actual phase purity. Automated extraction can introduce formula errors, missing operations, or ambiguous target assignments. Literature bias can overrepresent common oxides and underrepresent difficult, unpublished, failed, proprietary, or low-yield syntheses. These limitations do not make the dataset unusable; instead, they motivate a planner that combines data priors with hard constraints, thermodynamic scoring, uncertainty, and prospective validation.</w:t>
      </w:r>
    </w:p>
    <w:p>
      <w:pPr>
        <w:pStyle w:val="Heading2"/>
      </w:pPr>
      <w:r>
        <w:t>6.2 Solution-based inorganic synthesis dataset</w:t>
      </w:r>
    </w:p>
    <w:p>
      <w:pPr/>
      <w:r>
        <w:t>The second core dataset is the solution-based inorganic synthesis dataset of Wang et al. [4]. It contains 35,675 solution-based synthesis procedures extracted from the scientific literature. The dataset includes precursors, target materials, quantities, synthesis actions, action attributes, and an augmented reaction formula. The data records are further categorized into 20,037 hydrothermal synthesis reactions and 15,638 precipitation synthesis reactions. The extraction pipeline considered a much larger collection of synthesis paragraphs and retained records that generated complete reaction formulas, giving a useful but filtered subset of solution-based procedures.</w:t>
      </w:r>
    </w:p>
    <w:p>
      <w:pPr/>
      <w:r>
        <w:t>This dataset enables a second synthesis grammar branch after the solid-state workflow is established. Hydrothermal and precipitation synthesis require actions that do not appear in a basic solid-state grammar: choose solvent, choose mineralizer or precipitating agent, set concentration, adjust pH, choose autoclave temperature and dwell time, choose washing and centrifugation conditions, choose drying temperature, and optionally add a post-annealing step. These route variables are more heterogeneous than solid-state calcination schedules, but they are critical for many oxides, hydroxides, phosphates, nanocrystals, layered materials, and morphology-sensitive products.</w:t>
      </w:r>
    </w:p>
    <w:p>
      <w:pPr/>
      <w:r>
        <w:t>The solution dataset can also be useful before full solution synthesis support is implemented. It can inform precursor availability, hydrated and solvated precursor handling, low-temperature formation pathways, and common post-treatment steps. It can also help the planner recognize when a nominally solid-state target might have a plausible hydrothermal or precipitation route that should be recommended as an alternative branch rather than forced into a high-temperature powder route.</w:t>
      </w:r>
    </w:p>
    <w:p>
      <w:pPr/>
      <w:r>
        <w:t>The same caveats apply: the dataset is literature-biased, extraction-based, and dominated by successful reported procedures. Solution synthesis often depends on variables that are underreported or difficult to standardize, including pH trajectory, addition rate, mixing intensity, vessel geometry, aging time, water content, and precursor purity. Because these variables can control phase, particle size, and morphology, the planner should treat solution-based route scores as less certain unless retrieved analogs are close and conditions are explicitly reported.</w:t>
      </w:r>
    </w:p>
    <w:p>
      <w:pPr>
        <w:pStyle w:val="Heading2"/>
      </w:pPr>
      <w:r>
        <w:t>6.3 A-Lab data and autonomous synthesis outcomes</w:t>
      </w:r>
    </w:p>
    <w:p>
      <w:pPr/>
      <w:r>
        <w:t>The A-Lab study provides a valuable conceptual and empirical anchor for this proposal [5]. It demonstrates that autonomous inorganic synthesis can combine computed phase stability, literature-trained recipe models, active learning, robotics, and XRD-based outcome analysis. It also demonstrates that precursor and route selection remain difficult even when targets are predicted to be stable. The study reported 36 successful targets out of 57, but only 30 percent of 353 tested recipes produced their intended targets. Reported failure modes included sluggish reaction kinetics, precursor volatility, amorphization, and computational inaccuracies.</w:t>
      </w:r>
    </w:p>
    <w:p>
      <w:pPr/>
      <w:r>
        <w:t>For the proposed project, A-Lab-style data are important because they contain outcome information. Standard literature-mined synthesis datasets mainly encode reported procedures, not failed attempts. Outcome-labeled autonomous synthesis data can help calibrate the value function, especially for recognizing negative route features. If direct access to full A-Lab experimental records is unavailable, the published results still provide design guidance: route planning should score not only target stability but also precursor pathway, intermediate reactions, volatility risk, kinetic barriers, regrinding needs, and whether a short dwell time is likely insufficient.</w:t>
      </w:r>
    </w:p>
    <w:p>
      <w:pPr>
        <w:pStyle w:val="Heading2"/>
      </w:pPr>
      <w:r>
        <w:t>6.4 Computed thermodynamic and atomistic data</w:t>
      </w:r>
    </w:p>
    <w:p>
      <w:pPr/>
      <w:r>
        <w:t>The synthesis planner should integrate computed materials data without becoming a materials-discovery model. Materials Project-style convex-hull calculations, DFT reaction energies, competing phase analysis, and decomposition energies can score whether a target is thermodynamically plausible and whether a precursor route has a favorable driving force. MACE foundation models and related universal interatomic potentials can serve as fast surrogate models for structure relaxation, energetic screening, or finite-temperature atomistic features when full DFT is too expensive [6].</w:t>
      </w:r>
    </w:p>
    <w:p>
      <w:pPr/>
      <w:r>
        <w:t>Physics-based features should be used as complementary evidence rather than as a complete synthesis predictor. Thermodynamic stability does not guarantee synthesis, and a route with favorable net reaction energy can still fail due to kinetic bottlenecks, particle-scale diffusion, unwanted intermediates, volatile species, or atmosphere mismatch. The value of computed data is strongest when used to flag competing phases, estimate reaction driving forces, identify possible decomposition products, and guide active learning after failed experiments.</w:t>
      </w:r>
    </w:p>
    <w:p>
      <w:pPr>
        <w:pStyle w:val="Heading2"/>
      </w:pPr>
      <w:r>
        <w:t>6.5 Proposed normalized route schema</w:t>
      </w:r>
    </w:p>
    <w:p>
      <w:pPr/>
      <w:r>
        <w:t>All datasets should be normalized into a common synthesis route schema. A compact schema makes it possible for MCTS, retrieval, heuristic scoring, and the LLM judge to operate on the same object. A representative schema is shown below.</w:t>
      </w:r>
    </w:p>
    <w:p>
      <w:pPr>
        <w:pStyle w:val="EquationBlock"/>
      </w:pPr>
      <w:r>
        <w:t>RouteRecord = {</w:t>
        <w:br/>
        <w:t xml:space="preserve">  target: {formula, composition, structure_id, oxidation_state_guess, target_class},</w:t>
        <w:br/>
        <w:t xml:space="preserve">  modality: solid_state | hydrothermal | precipitation | sol_gel | other,</w:t>
        <w:br/>
        <w:t xml:space="preserve">  precursors: [{name, formula, class, amount, hydrate_state, role}],</w:t>
        <w:br/>
        <w:t xml:space="preserve">  operations: [{verb, order, parameters, temperature, time, atmosphere, equipment}],</w:t>
        <w:br/>
        <w:t xml:space="preserve">  reaction: {balanced_equation, byproducts, stoichiometry_valid},</w:t>
        <w:br/>
        <w:t xml:space="preserve">  evidence: {source_doi, retrieved_analogs, similarity_scores},</w:t>
        <w:br/>
        <w:t xml:space="preserve">  scores: {stoich, precursor, thermo, condition, llm, cost, hazard, complexity},</w:t>
        <w:br/>
        <w:t xml:space="preserve">  outcome: {reported_success, phase_purity, yield, xrd_result, unknown}</w:t>
        <w:br/>
        <w:t>}</w:t>
      </w:r>
    </w:p>
    <w:p>
      <w:pPr/>
      <w:r>
        <w:t>The outcome field will be mostly unknown for text-mined literature data, but it becomes essential for prospective experiments or autonomous synthesis logs. Keeping the field in the schema from the beginning makes the framework compatible with active learning and closed-loop optimization later.</w:t>
      </w:r>
    </w:p>
    <w:p>
      <w:pPr>
        <w:pStyle w:val="Heading2"/>
      </w:pPr>
      <w:r>
        <w:t>6.6 Data splits and leakage control</w:t>
      </w:r>
    </w:p>
    <w:p>
      <w:pPr/>
      <w:r>
        <w:t>A credible benchmark requires splits that prevent trivial recipe memorization. Random splits are useful for debugging but insufficient for claims of generalization. The project should evaluate at least four split types:</w:t>
      </w:r>
    </w:p>
    <w:p>
      <w:pPr>
        <w:pStyle w:val="ListBullet"/>
        <w:spacing w:after="60"/>
      </w:pPr>
      <w:r>
        <w:t>Target-disjoint split: all recipes for a target formula are held out together.</w:t>
      </w:r>
    </w:p>
    <w:p>
      <w:pPr>
        <w:pStyle w:val="ListBullet"/>
        <w:spacing w:after="60"/>
      </w:pPr>
      <w:r>
        <w:t>Chemical-system split: entire element combinations, such as Li-Mn-O or Ba-Ti-O, are held out to test transfer to unseen systems.</w:t>
      </w:r>
    </w:p>
    <w:p>
      <w:pPr>
        <w:pStyle w:val="ListBullet"/>
        <w:spacing w:after="60"/>
      </w:pPr>
      <w:r>
        <w:t>Prototype or material-family split: materials sharing a structural family or formula motif are held out to test generalization beyond close analogs.</w:t>
      </w:r>
    </w:p>
    <w:p>
      <w:pPr>
        <w:pStyle w:val="ListBullet"/>
        <w:spacing w:after="60"/>
      </w:pPr>
      <w:r>
        <w:t>Publication-time split: older recipes train the model and newer recipes test whether the planner predicts later reported synthesis choices.</w:t>
      </w:r>
    </w:p>
    <w:p>
      <w:pPr/>
      <w:r>
        <w:t>Each split should report performance separately. High performance on random splits may indicate that retrieval is working, while performance on chemical-system splits indicates whether the planner can extrapolate. Because multiple routes can be valid, strict exact-match recovery should not be the only metric. The benchmark should also evaluate chemical validity, precursor class plausibility, operation completeness, and condition range accuracy.</w:t>
      </w:r>
    </w:p>
    <w:p>
      <w:pPr>
        <w:pStyle w:val="Heading1"/>
      </w:pPr>
      <w:r>
        <w:t>7. MCTS Formulation</w:t>
      </w:r>
    </w:p>
    <w:p>
      <w:pPr/>
      <w:r>
        <w:t>The MCTS planner will construct routes in the forward direction. This is preferable to direct inorganic retrosynthesis at the first stage because many inorganic syntheses are defined by operations and conditions rather than by a sequence of well-defined molecular disconnections. Forward construction also aligns naturally with experimental protocols: choose a synthesis modality, choose precursors, set stoichiometry, choose processing operations, define conditions, and terminate with an executable route.</w:t>
      </w:r>
    </w:p>
    <w:p>
      <w:pPr>
        <w:pStyle w:val="Heading2"/>
      </w:pPr>
      <w:r>
        <w:t>7.1 State representation</w:t>
      </w:r>
    </w:p>
    <w:p>
      <w:pPr/>
      <w:r>
        <w:t>A state is a partial synthesis recipe. It contains the fixed target and constraints plus the choices made so far.</w:t>
      </w:r>
    </w:p>
    <w:p>
      <w:pPr>
        <w:pStyle w:val="EquationBlock"/>
      </w:pPr>
      <w:r>
        <w:t>s_t = {T, M, selected_precursors, partial_operations, partial_conditions, constraints, evidence}</w:t>
      </w:r>
    </w:p>
    <w:p>
      <w:pPr/>
      <w:r>
        <w:t>Examples of early states include a target with no selected modality, a solid-state route with a partially selected precursor set, or a route with precursors and an initial calcination step but no final annealing step. Partial-state scoring is important because MCTS must decide which incomplete routes are worth expanding before a full recipe exists.</w:t>
      </w:r>
    </w:p>
    <w:p>
      <w:pPr>
        <w:pStyle w:val="Heading2"/>
      </w:pPr>
      <w:r>
        <w:t>7.2 Action space</w:t>
      </w:r>
    </w:p>
    <w:p>
      <w:pPr/>
      <w:r>
        <w:t>The action space should be hierarchical. This prevents combinatorial explosion and allows the planner to apply different priors at different decision levels.</w:t>
      </w:r>
    </w:p>
    <w:tbl>
      <w:tblPr>
        <w:tblStyle w:val="TableGrid"/>
        <w:tblW w:type="auto" w:w="0"/>
        <w:jc w:val="center"/>
        <w:tblLook w:firstColumn="1" w:firstRow="1" w:lastColumn="0" w:lastRow="0" w:noHBand="0" w:noVBand="1" w:val="04A0"/>
      </w:tblPr>
      <w:tblGrid>
        <w:gridCol w:w="3312"/>
        <w:gridCol w:w="3312"/>
        <w:gridCol w:w="3312"/>
      </w:tblGrid>
      <w:tr>
        <w:trPr>
          <w:tblHeader w:val="true"/>
          <w:cantSplit/>
        </w:trPr>
        <w:tc>
          <w:tcPr>
            <w:tcW w:type="dxa" w:w="3312"/>
            <w:shd w:fill="D9EAF7"/>
            <w:vAlign w:val="center"/>
          </w:tcPr>
          <w:p>
            <w:pPr>
              <w:spacing w:after="0"/>
            </w:pPr>
            <w:r/>
            <w:r>
              <w:rPr>
                <w:rFonts w:ascii="Aptos" w:hAnsi="Aptos" w:eastAsia="Aptos"/>
                <w:b/>
                <w:sz w:val="17"/>
              </w:rPr>
              <w:t>Decision level</w:t>
            </w:r>
          </w:p>
        </w:tc>
        <w:tc>
          <w:tcPr>
            <w:tcW w:type="dxa" w:w="3312"/>
            <w:shd w:fill="D9EAF7"/>
            <w:vAlign w:val="center"/>
          </w:tcPr>
          <w:p>
            <w:pPr>
              <w:spacing w:after="0"/>
            </w:pPr>
            <w:r/>
            <w:r>
              <w:rPr>
                <w:rFonts w:ascii="Aptos" w:hAnsi="Aptos" w:eastAsia="Aptos"/>
                <w:b/>
                <w:sz w:val="17"/>
              </w:rPr>
              <w:t>Example actions</w:t>
            </w:r>
          </w:p>
        </w:tc>
        <w:tc>
          <w:tcPr>
            <w:tcW w:type="dxa" w:w="3312"/>
            <w:shd w:fill="D9EAF7"/>
            <w:vAlign w:val="center"/>
          </w:tcPr>
          <w:p>
            <w:pPr>
              <w:spacing w:after="0"/>
            </w:pPr>
            <w:r/>
            <w:r>
              <w:rPr>
                <w:rFonts w:ascii="Aptos" w:hAnsi="Aptos" w:eastAsia="Aptos"/>
                <w:b/>
                <w:sz w:val="17"/>
              </w:rPr>
              <w:t>Scoring or constraints</w:t>
            </w:r>
          </w:p>
        </w:tc>
      </w:tr>
      <w:tr>
        <w:trPr>
          <w:cantSplit/>
        </w:trPr>
        <w:tc>
          <w:tcPr>
            <w:tcW w:type="dxa" w:w="3312"/>
            <w:vAlign w:val="top"/>
          </w:tcPr>
          <w:p>
            <w:pPr>
              <w:spacing w:after="0"/>
            </w:pPr>
            <w:r/>
            <w:r>
              <w:rPr>
                <w:rFonts w:ascii="Aptos" w:hAnsi="Aptos" w:eastAsia="Aptos"/>
                <w:b w:val="0"/>
                <w:sz w:val="16"/>
              </w:rPr>
              <w:t>Modality selection</w:t>
            </w:r>
          </w:p>
        </w:tc>
        <w:tc>
          <w:tcPr>
            <w:tcW w:type="dxa" w:w="3312"/>
            <w:vAlign w:val="top"/>
          </w:tcPr>
          <w:p>
            <w:pPr>
              <w:spacing w:after="0"/>
            </w:pPr>
            <w:r/>
            <w:r>
              <w:rPr>
                <w:rFonts w:ascii="Aptos" w:hAnsi="Aptos" w:eastAsia="Aptos"/>
                <w:b w:val="0"/>
                <w:sz w:val="16"/>
              </w:rPr>
              <w:t>solid_state, hydrothermal, precipitation, sol_gel, flux</w:t>
            </w:r>
          </w:p>
        </w:tc>
        <w:tc>
          <w:tcPr>
            <w:tcW w:type="dxa" w:w="3312"/>
            <w:vAlign w:val="top"/>
          </w:tcPr>
          <w:p>
            <w:pPr>
              <w:spacing w:after="0"/>
            </w:pPr>
            <w:r/>
            <w:r>
              <w:rPr>
                <w:rFonts w:ascii="Aptos" w:hAnsi="Aptos" w:eastAsia="Aptos"/>
                <w:b w:val="0"/>
                <w:sz w:val="16"/>
              </w:rPr>
              <w:t>Target family, retrieved analogs, equipment constraints, chemistry class.</w:t>
            </w:r>
          </w:p>
        </w:tc>
      </w:tr>
      <w:tr>
        <w:trPr>
          <w:cantSplit/>
        </w:trPr>
        <w:tc>
          <w:tcPr>
            <w:tcW w:type="dxa" w:w="3312"/>
            <w:vAlign w:val="top"/>
          </w:tcPr>
          <w:p>
            <w:pPr>
              <w:spacing w:after="0"/>
            </w:pPr>
            <w:r/>
            <w:r>
              <w:rPr>
                <w:rFonts w:ascii="Aptos" w:hAnsi="Aptos" w:eastAsia="Aptos"/>
                <w:b w:val="0"/>
                <w:sz w:val="16"/>
              </w:rPr>
              <w:t>Precursor selection</w:t>
            </w:r>
          </w:p>
        </w:tc>
        <w:tc>
          <w:tcPr>
            <w:tcW w:type="dxa" w:w="3312"/>
            <w:vAlign w:val="top"/>
          </w:tcPr>
          <w:p>
            <w:pPr>
              <w:spacing w:after="0"/>
            </w:pPr>
            <w:r/>
            <w:r>
              <w:rPr>
                <w:rFonts w:ascii="Aptos" w:hAnsi="Aptos" w:eastAsia="Aptos"/>
                <w:b w:val="0"/>
                <w:sz w:val="16"/>
              </w:rPr>
              <w:t>choose oxide, carbonate, nitrate, acetate, hydroxide, sulfide, elemental metal, halide, ammonium salt</w:t>
            </w:r>
          </w:p>
        </w:tc>
        <w:tc>
          <w:tcPr>
            <w:tcW w:type="dxa" w:w="3312"/>
            <w:vAlign w:val="top"/>
          </w:tcPr>
          <w:p>
            <w:pPr>
              <w:spacing w:after="0"/>
            </w:pPr>
            <w:r/>
            <w:r>
              <w:rPr>
                <w:rFonts w:ascii="Aptos" w:hAnsi="Aptos" w:eastAsia="Aptos"/>
                <w:b w:val="0"/>
                <w:sz w:val="16"/>
              </w:rPr>
              <w:t>Element coverage, charge/redox plausibility, decomposition behavior, volatility, availability.</w:t>
            </w:r>
          </w:p>
        </w:tc>
      </w:tr>
      <w:tr>
        <w:trPr>
          <w:cantSplit/>
        </w:trPr>
        <w:tc>
          <w:tcPr>
            <w:tcW w:type="dxa" w:w="3312"/>
            <w:vAlign w:val="top"/>
          </w:tcPr>
          <w:p>
            <w:pPr>
              <w:spacing w:after="0"/>
            </w:pPr>
            <w:r/>
            <w:r>
              <w:rPr>
                <w:rFonts w:ascii="Aptos" w:hAnsi="Aptos" w:eastAsia="Aptos"/>
                <w:b w:val="0"/>
                <w:sz w:val="16"/>
              </w:rPr>
              <w:t>Stoichiometry and additives</w:t>
            </w:r>
          </w:p>
        </w:tc>
        <w:tc>
          <w:tcPr>
            <w:tcW w:type="dxa" w:w="3312"/>
            <w:vAlign w:val="top"/>
          </w:tcPr>
          <w:p>
            <w:pPr>
              <w:spacing w:after="0"/>
            </w:pPr>
            <w:r/>
            <w:r>
              <w:rPr>
                <w:rFonts w:ascii="Aptos" w:hAnsi="Aptos" w:eastAsia="Aptos"/>
                <w:b w:val="0"/>
                <w:sz w:val="16"/>
              </w:rPr>
              <w:t>set molar ratios, add excess volatile component, add flux/mineralizer, add dopant source</w:t>
            </w:r>
          </w:p>
        </w:tc>
        <w:tc>
          <w:tcPr>
            <w:tcW w:type="dxa" w:w="3312"/>
            <w:vAlign w:val="top"/>
          </w:tcPr>
          <w:p>
            <w:pPr>
              <w:spacing w:after="0"/>
            </w:pPr>
            <w:r/>
            <w:r>
              <w:rPr>
                <w:rFonts w:ascii="Aptos" w:hAnsi="Aptos" w:eastAsia="Aptos"/>
                <w:b w:val="0"/>
                <w:sz w:val="16"/>
              </w:rPr>
              <w:t>Mass balance, known off-stoichiometry practices, target composition, impurity risk.</w:t>
            </w:r>
          </w:p>
        </w:tc>
      </w:tr>
      <w:tr>
        <w:trPr>
          <w:cantSplit/>
        </w:trPr>
        <w:tc>
          <w:tcPr>
            <w:tcW w:type="dxa" w:w="3312"/>
            <w:vAlign w:val="top"/>
          </w:tcPr>
          <w:p>
            <w:pPr>
              <w:spacing w:after="0"/>
            </w:pPr>
            <w:r/>
            <w:r>
              <w:rPr>
                <w:rFonts w:ascii="Aptos" w:hAnsi="Aptos" w:eastAsia="Aptos"/>
                <w:b w:val="0"/>
                <w:sz w:val="16"/>
              </w:rPr>
              <w:t>Physical preparation</w:t>
            </w:r>
          </w:p>
        </w:tc>
        <w:tc>
          <w:tcPr>
            <w:tcW w:type="dxa" w:w="3312"/>
            <w:vAlign w:val="top"/>
          </w:tcPr>
          <w:p>
            <w:pPr>
              <w:spacing w:after="0"/>
            </w:pPr>
            <w:r/>
            <w:r>
              <w:rPr>
                <w:rFonts w:ascii="Aptos" w:hAnsi="Aptos" w:eastAsia="Aptos"/>
                <w:b w:val="0"/>
                <w:sz w:val="16"/>
              </w:rPr>
              <w:t>grind, ball mill, dry, pelletize, press, mix solvent-assisted</w:t>
            </w:r>
          </w:p>
        </w:tc>
        <w:tc>
          <w:tcPr>
            <w:tcW w:type="dxa" w:w="3312"/>
            <w:vAlign w:val="top"/>
          </w:tcPr>
          <w:p>
            <w:pPr>
              <w:spacing w:after="0"/>
            </w:pPr>
            <w:r/>
            <w:r>
              <w:rPr>
                <w:rFonts w:ascii="Aptos" w:hAnsi="Aptos" w:eastAsia="Aptos"/>
                <w:b w:val="0"/>
                <w:sz w:val="16"/>
              </w:rPr>
              <w:t>Particle contact, diffusion length, precursor hardness, moisture sensitivity.</w:t>
            </w:r>
          </w:p>
        </w:tc>
      </w:tr>
      <w:tr>
        <w:trPr>
          <w:cantSplit/>
        </w:trPr>
        <w:tc>
          <w:tcPr>
            <w:tcW w:type="dxa" w:w="3312"/>
            <w:vAlign w:val="top"/>
          </w:tcPr>
          <w:p>
            <w:pPr>
              <w:spacing w:after="0"/>
            </w:pPr>
            <w:r/>
            <w:r>
              <w:rPr>
                <w:rFonts w:ascii="Aptos" w:hAnsi="Aptos" w:eastAsia="Aptos"/>
                <w:b w:val="0"/>
                <w:sz w:val="16"/>
              </w:rPr>
              <w:t>Thermal or solution schedule</w:t>
            </w:r>
          </w:p>
        </w:tc>
        <w:tc>
          <w:tcPr>
            <w:tcW w:type="dxa" w:w="3312"/>
            <w:vAlign w:val="top"/>
          </w:tcPr>
          <w:p>
            <w:pPr>
              <w:spacing w:after="0"/>
            </w:pPr>
            <w:r/>
            <w:r>
              <w:rPr>
                <w:rFonts w:ascii="Aptos" w:hAnsi="Aptos" w:eastAsia="Aptos"/>
                <w:b w:val="0"/>
                <w:sz w:val="16"/>
              </w:rPr>
              <w:t>calcine, sinter, anneal, hydrothermal hold, aging, precipitation, drying, wash</w:t>
            </w:r>
          </w:p>
        </w:tc>
        <w:tc>
          <w:tcPr>
            <w:tcW w:type="dxa" w:w="3312"/>
            <w:vAlign w:val="top"/>
          </w:tcPr>
          <w:p>
            <w:pPr>
              <w:spacing w:after="0"/>
            </w:pPr>
            <w:r/>
            <w:r>
              <w:rPr>
                <w:rFonts w:ascii="Aptos" w:hAnsi="Aptos" w:eastAsia="Aptos"/>
                <w:b w:val="0"/>
                <w:sz w:val="16"/>
              </w:rPr>
              <w:t>Condition distributions from data, precursor decomposition temperatures, target stability, equipment limits.</w:t>
            </w:r>
          </w:p>
        </w:tc>
      </w:tr>
      <w:tr>
        <w:trPr>
          <w:cantSplit/>
        </w:trPr>
        <w:tc>
          <w:tcPr>
            <w:tcW w:type="dxa" w:w="3312"/>
            <w:vAlign w:val="top"/>
          </w:tcPr>
          <w:p>
            <w:pPr>
              <w:spacing w:after="0"/>
            </w:pPr>
            <w:r/>
            <w:r>
              <w:rPr>
                <w:rFonts w:ascii="Aptos" w:hAnsi="Aptos" w:eastAsia="Aptos"/>
                <w:b w:val="0"/>
                <w:sz w:val="16"/>
              </w:rPr>
              <w:t>Atmosphere and containment</w:t>
            </w:r>
          </w:p>
        </w:tc>
        <w:tc>
          <w:tcPr>
            <w:tcW w:type="dxa" w:w="3312"/>
            <w:vAlign w:val="top"/>
          </w:tcPr>
          <w:p>
            <w:pPr>
              <w:spacing w:after="0"/>
            </w:pPr>
            <w:r/>
            <w:r>
              <w:rPr>
                <w:rFonts w:ascii="Aptos" w:hAnsi="Aptos" w:eastAsia="Aptos"/>
                <w:b w:val="0"/>
                <w:sz w:val="16"/>
              </w:rPr>
              <w:t>air, oxygen, nitrogen, argon, forming gas, vacuum, sealed ampoule</w:t>
            </w:r>
          </w:p>
        </w:tc>
        <w:tc>
          <w:tcPr>
            <w:tcW w:type="dxa" w:w="3312"/>
            <w:vAlign w:val="top"/>
          </w:tcPr>
          <w:p>
            <w:pPr>
              <w:spacing w:after="0"/>
            </w:pPr>
            <w:r/>
            <w:r>
              <w:rPr>
                <w:rFonts w:ascii="Aptos" w:hAnsi="Aptos" w:eastAsia="Aptos"/>
                <w:b w:val="0"/>
                <w:sz w:val="16"/>
              </w:rPr>
              <w:t>Oxidation state, volatile species, moisture or oxygen sensitivity, safety constraints.</w:t>
            </w:r>
          </w:p>
        </w:tc>
      </w:tr>
      <w:tr>
        <w:trPr>
          <w:cantSplit/>
        </w:trPr>
        <w:tc>
          <w:tcPr>
            <w:tcW w:type="dxa" w:w="3312"/>
            <w:vAlign w:val="top"/>
          </w:tcPr>
          <w:p>
            <w:pPr>
              <w:spacing w:after="0"/>
            </w:pPr>
            <w:r/>
            <w:r>
              <w:rPr>
                <w:rFonts w:ascii="Aptos" w:hAnsi="Aptos" w:eastAsia="Aptos"/>
                <w:b w:val="0"/>
                <w:sz w:val="16"/>
              </w:rPr>
              <w:t>Iteration and termination</w:t>
            </w:r>
          </w:p>
        </w:tc>
        <w:tc>
          <w:tcPr>
            <w:tcW w:type="dxa" w:w="3312"/>
            <w:vAlign w:val="top"/>
          </w:tcPr>
          <w:p>
            <w:pPr>
              <w:spacing w:after="0"/>
            </w:pPr>
            <w:r/>
            <w:r>
              <w:rPr>
                <w:rFonts w:ascii="Aptos" w:hAnsi="Aptos" w:eastAsia="Aptos"/>
                <w:b w:val="0"/>
                <w:sz w:val="16"/>
              </w:rPr>
              <w:t>regrind and reheat, quench, slow cool, terminate route</w:t>
            </w:r>
          </w:p>
        </w:tc>
        <w:tc>
          <w:tcPr>
            <w:tcW w:type="dxa" w:w="3312"/>
            <w:vAlign w:val="top"/>
          </w:tcPr>
          <w:p>
            <w:pPr>
              <w:spacing w:after="0"/>
            </w:pPr>
            <w:r/>
            <w:r>
              <w:rPr>
                <w:rFonts w:ascii="Aptos" w:hAnsi="Aptos" w:eastAsia="Aptos"/>
                <w:b w:val="0"/>
                <w:sz w:val="16"/>
              </w:rPr>
              <w:t>Completeness, route complexity, expected phase purity, missing-step penalties.</w:t>
            </w:r>
          </w:p>
        </w:tc>
      </w:tr>
    </w:tbl>
    <w:p>
      <w:pPr>
        <w:pStyle w:val="CaptionSmall"/>
      </w:pPr>
      <w:r>
        <w:t>Table 2. Hierarchical action space for MCTS-based synthesis planning.</w:t>
      </w:r>
    </w:p>
    <w:p>
      <w:pPr>
        <w:pStyle w:val="Heading2"/>
      </w:pPr>
      <w:r>
        <w:t>7.3 Selection and expansion</w:t>
      </w:r>
    </w:p>
    <w:p>
      <w:pPr/>
      <w:r>
        <w:t>The selection rule can use a PUCT-style score that balances exploitation of high-value branches and exploration of under-sampled branches. A representative form is:</w:t>
      </w:r>
    </w:p>
    <w:p>
      <w:pPr>
        <w:pStyle w:val="EquationBlock"/>
      </w:pPr>
      <w:r>
        <w:t>a* = argmax_a [ Q(s,a) + c_puct * P(a|s) * sqrt(N(s)) / (1 + N(s,a)) ]</w:t>
      </w:r>
    </w:p>
    <w:p>
      <w:pPr/>
      <w:r>
        <w:t>Here Q(s,a) is the backed-up value of action a from state s, P(a|s) is a policy prior from retrieval and learned statistics, N(s) is the state visit count, N(s,a) is the action visit count, and c_puct controls exploration. Expansion should be constrained by hard validity rules before expensive scoring is invoked. For example, a precursor set that does not cover all target elements or cannot be balanced should be rejected early.</w:t>
      </w:r>
    </w:p>
    <w:p>
      <w:pPr>
        <w:pStyle w:val="Heading2"/>
      </w:pPr>
      <w:r>
        <w:t>7.4 Rollout and value estimation</w:t>
      </w:r>
    </w:p>
    <w:p>
      <w:pPr/>
      <w:r>
        <w:t>Rollouts can be implemented as grammar-constrained completions. A partial precursor set can be completed using nearest-neighbor literature analogs, a learned precursor predictor, or a sampling procedure over precursor classes. A partial operation sequence can be completed using modality-specific templates, such as mix-grind-calcine-regrind-anneal for solid-state synthesis. The terminal route is then scored by the full reward function. As the framework matures, a learned value model can replace or augment rollouts by estimating the value of partial states directly.</w:t>
      </w:r>
    </w:p>
    <w:p>
      <w:pPr>
        <w:pStyle w:val="Heading2"/>
      </w:pPr>
      <w:r>
        <w:t>7.5 Backup and route portfolio selection</w:t>
      </w:r>
    </w:p>
    <w:p>
      <w:pPr/>
      <w:r>
        <w:t>After each simulation, terminal and intermediate rewards are backed up through the search tree. Final route selection should not return only the highest-scoring path. Materials synthesis benefits from diversity because multiple plausible routes may exploit different precursor chemistries or processing strategies. The final portfolio should therefore use score, uncertainty, and diversity constraints to return routes that are both high value and chemically distinct.</w:t>
      </w:r>
    </w:p>
    <w:p>
      <w:pPr>
        <w:pStyle w:val="Heading1"/>
      </w:pPr>
      <w:r>
        <w:t>8. Route Scoring and Chemical Constraints</w:t>
      </w:r>
    </w:p>
    <w:p>
      <w:pPr/>
      <w:r>
        <w:t>The scoring function should combine hard constraints with soft value terms. Hard constraints determine whether a route is valid enough to enter the search tree. Soft scores rank valid but uncertain routes. This separation is important because an LLM judge should not be allowed to rescue a route that violates elemental balance, gross safety constraints, or impossible laboratory limits.</w:t>
      </w:r>
    </w:p>
    <w:p>
      <w:pPr>
        <w:pStyle w:val="Heading2"/>
      </w:pPr>
      <w:r>
        <w:t>8.1 Hard validity constraints</w:t>
      </w:r>
    </w:p>
    <w:p>
      <w:pPr>
        <w:pStyle w:val="ListBullet"/>
        <w:spacing w:after="60"/>
      </w:pPr>
      <w:r>
        <w:t>Element coverage: selected precursors must contain all target elements or explicitly include a dopant/additive source.</w:t>
      </w:r>
    </w:p>
    <w:p>
      <w:pPr>
        <w:pStyle w:val="ListBullet"/>
        <w:spacing w:after="60"/>
      </w:pPr>
      <w:r>
        <w:t>Mass balance: the reaction must be stoichiometrically balanceable, at least after allowing common gaseous byproducts such as CO2, H2O, O2, NOx, NH3, SOx, or halogen species when chemically appropriate.</w:t>
      </w:r>
    </w:p>
    <w:p>
      <w:pPr>
        <w:pStyle w:val="ListBullet"/>
        <w:spacing w:after="60"/>
      </w:pPr>
      <w:r>
        <w:t>Oxidation-state compatibility: precursor and atmosphere choices should not make the target oxidation states implausible without a redox source or sink.</w:t>
      </w:r>
    </w:p>
    <w:p>
      <w:pPr>
        <w:pStyle w:val="ListBullet"/>
        <w:spacing w:after="60"/>
      </w:pPr>
      <w:r>
        <w:t>Equipment compatibility: temperatures, pressures, atmospheres, and containment choices must fall within declared laboratory constraints.</w:t>
      </w:r>
    </w:p>
    <w:p>
      <w:pPr>
        <w:pStyle w:val="ListBullet"/>
        <w:spacing w:after="60"/>
      </w:pPr>
      <w:r>
        <w:t>Safety constraints: routes requiring prohibited hazards, incompatible atmospheres, explosive mixtures, or unavailable controlled environments should be rejected or heavily penalized.</w:t>
      </w:r>
    </w:p>
    <w:p>
      <w:pPr>
        <w:pStyle w:val="ListBullet"/>
        <w:spacing w:after="60"/>
      </w:pPr>
      <w:r>
        <w:t>Modality consistency: solution-specific actions should not appear in a purely solid-state route unless the route explicitly includes a wet-chemistry or precursor-preparation stage.</w:t>
      </w:r>
    </w:p>
    <w:p>
      <w:pPr>
        <w:pStyle w:val="Heading2"/>
      </w:pPr>
      <w:r>
        <w:t>8.2 Soft scoring terms</w:t>
      </w:r>
    </w:p>
    <w:p>
      <w:pPr/>
      <w:r>
        <w:t>A route that passes hard constraints can be scored with a weighted objective:</w:t>
      </w:r>
    </w:p>
    <w:p>
      <w:pPr>
        <w:pStyle w:val="EquationBlock"/>
      </w:pPr>
      <w:r>
        <w:t>Score(tau) = w_s*S_stoich + w_p*S_precursor + w_t*S_thermo</w:t>
        <w:br/>
        <w:t xml:space="preserve">           + w_r*S_retrieval + w_c*S_condition + w_l*S_LLM</w:t>
        <w:br/>
        <w:t xml:space="preserve">           - alpha_cost*Cost - alpha_hazard*Hazard - alpha_complexity*Complexity</w:t>
      </w:r>
    </w:p>
    <w:p>
      <w:pPr/>
      <w:r>
        <w:t>The terms have the following intended meanings:</w:t>
      </w:r>
    </w:p>
    <w:p>
      <w:pPr>
        <w:pStyle w:val="ListBullet"/>
        <w:spacing w:after="60"/>
      </w:pPr>
      <w:r>
        <w:t>S_stoich evaluates balance quality, byproduct plausibility, and whether stoichiometric excesses are chemically justified.</w:t>
      </w:r>
    </w:p>
    <w:p>
      <w:pPr>
        <w:pStyle w:val="ListBullet"/>
        <w:spacing w:after="60"/>
      </w:pPr>
      <w:r>
        <w:t>S_precursor evaluates whether the precursor classes are common for the target chemistry and whether they decompose or react under the proposed conditions.</w:t>
      </w:r>
    </w:p>
    <w:p>
      <w:pPr>
        <w:pStyle w:val="ListBullet"/>
        <w:spacing w:after="60"/>
      </w:pPr>
      <w:r>
        <w:t>S_thermo evaluates target stability, competing phases, reaction driving force, intermediate formation, and possible decomposition products.</w:t>
      </w:r>
    </w:p>
    <w:p>
      <w:pPr>
        <w:pStyle w:val="ListBullet"/>
        <w:spacing w:after="60"/>
      </w:pPr>
      <w:r>
        <w:t>S_retrieval evaluates similarity to known successful recipes by composition, target class, precursor class, and operation sequence.</w:t>
      </w:r>
    </w:p>
    <w:p>
      <w:pPr>
        <w:pStyle w:val="ListBullet"/>
        <w:spacing w:after="60"/>
      </w:pPr>
      <w:r>
        <w:t>S_condition evaluates whether temperatures, dwell times, atmospheres, solvents, and pH values are plausible relative to retrieved analogs.</w:t>
      </w:r>
    </w:p>
    <w:p>
      <w:pPr>
        <w:pStyle w:val="ListBullet"/>
        <w:spacing w:after="60"/>
      </w:pPr>
      <w:r>
        <w:t>S_LLM captures expert-like qualitative judgments that are difficult to encode, including missing steps, subtle redox concerns, volatility, or process coherence.</w:t>
      </w:r>
    </w:p>
    <w:p>
      <w:pPr>
        <w:pStyle w:val="ListBullet"/>
        <w:spacing w:after="60"/>
      </w:pPr>
      <w:r>
        <w:t>Cost, Hazard, and Complexity penalize routes that are impractical even if chemically plausible.</w:t>
      </w:r>
    </w:p>
    <w:p>
      <w:pPr>
        <w:pStyle w:val="Heading2"/>
      </w:pPr>
      <w:r>
        <w:t>8.3 Thermodynamic and kinetic heuristics</w:t>
      </w:r>
    </w:p>
    <w:p>
      <w:pPr/>
      <w:r>
        <w:t>Thermodynamic scoring should include both target-level and route-level features. Target-level features include decomposition energy above or below the convex hull, competing phases, chemical potential window, and stability under atmosphere. Route-level features include net reaction energy, pairwise precursor reaction driving forces, likely intermediate phases, and whether a proposed temperature is high enough to decompose precursors but low enough to avoid target decomposition or volatilization. Kinetic heuristics should include diffusion length, need for regrinding, precursor melting or decomposition, particle mixing, and whether a short dwell time is likely sufficient.</w:t>
      </w:r>
    </w:p>
    <w:p>
      <w:pPr/>
      <w:r>
        <w:t>These heuristics should be interpretable. For example, a carbonate route to an oxide target may receive a positive precursor score if carbonates are common for the cations and the proposed calcination temperature exceeds typical decomposition ranges. The same route may receive a volatility penalty if it involves a volatile cation, a high temperature, or an open crucible. A sulfide route may receive an atmosphere penalty if it is proposed in air without a sulfurizing or reducing environment.</w:t>
      </w:r>
    </w:p>
    <w:p>
      <w:pPr>
        <w:pStyle w:val="Heading1"/>
      </w:pPr>
      <w:r>
        <w:t>9. Retrieval-Grounded LLM-as-Judge</w:t>
      </w:r>
    </w:p>
    <w:p>
      <w:pPr/>
      <w:r>
        <w:t>The LLM judge should be framed as a calibrated route-value heuristic, not as an oracle of synthesis feasibility. Its role is to evaluate route coherence and identify missing or suspicious steps using retrieved examples and structured chemistry checks. This framing is important because LLMs can produce fluent but chemically unsupported judgments, and chemistry-agent studies emphasize the need for tool integration, validation, and expert oversight [7].</w:t>
      </w:r>
    </w:p>
    <w:p>
      <w:pPr>
        <w:pStyle w:val="Heading2"/>
      </w:pPr>
      <w:r>
        <w:t>9.1 Judge inputs</w:t>
      </w:r>
    </w:p>
    <w:p>
      <w:pPr/>
      <w:r>
        <w:t>The judge should receive a structured route object, hard constraint outputs, computed features, and a small set of retrieved analogous recipes. The prompt should ask for rubric-based scores rather than open-ended freeform judgment. Retrieved recipes should include target formula, precursor set, operation sequence, key conditions, and source metadata. The judge should be required to cite which retrieved analogs support each judgment internally in the structured output.</w:t>
      </w:r>
    </w:p>
    <w:p>
      <w:r>
        <w:br w:type="page"/>
      </w:r>
    </w:p>
    <w:p>
      <w:pPr>
        <w:pStyle w:val="Heading2"/>
      </w:pPr>
      <w:r>
        <w:t>9.2 Judge rubric</w:t>
      </w:r>
    </w:p>
    <w:tbl>
      <w:tblPr>
        <w:tblStyle w:val="TableGrid"/>
        <w:tblW w:type="auto" w:w="0"/>
        <w:jc w:val="center"/>
        <w:tblLook w:firstColumn="1" w:firstRow="1" w:lastColumn="0" w:lastRow="0" w:noHBand="0" w:noVBand="1" w:val="04A0"/>
      </w:tblPr>
      <w:tblGrid>
        <w:gridCol w:w="3312"/>
        <w:gridCol w:w="3312"/>
        <w:gridCol w:w="3312"/>
      </w:tblGrid>
      <w:tr>
        <w:trPr>
          <w:tblHeader w:val="true"/>
          <w:cantSplit/>
        </w:trPr>
        <w:tc>
          <w:tcPr>
            <w:tcW w:type="dxa" w:w="3312"/>
            <w:shd w:fill="D9EAF7"/>
            <w:vAlign w:val="center"/>
          </w:tcPr>
          <w:p>
            <w:pPr>
              <w:spacing w:after="0"/>
            </w:pPr>
            <w:r/>
            <w:r>
              <w:rPr>
                <w:rFonts w:ascii="Aptos" w:hAnsi="Aptos" w:eastAsia="Aptos"/>
                <w:b/>
                <w:sz w:val="17"/>
              </w:rPr>
              <w:t>Rubric item</w:t>
            </w:r>
          </w:p>
        </w:tc>
        <w:tc>
          <w:tcPr>
            <w:tcW w:type="dxa" w:w="3312"/>
            <w:shd w:fill="D9EAF7"/>
            <w:vAlign w:val="center"/>
          </w:tcPr>
          <w:p>
            <w:pPr>
              <w:spacing w:after="0"/>
            </w:pPr>
            <w:r/>
            <w:r>
              <w:rPr>
                <w:rFonts w:ascii="Aptos" w:hAnsi="Aptos" w:eastAsia="Aptos"/>
                <w:b/>
                <w:sz w:val="17"/>
              </w:rPr>
              <w:t>Question evaluated by the judge</w:t>
            </w:r>
          </w:p>
        </w:tc>
        <w:tc>
          <w:tcPr>
            <w:tcW w:type="dxa" w:w="3312"/>
            <w:shd w:fill="D9EAF7"/>
            <w:vAlign w:val="center"/>
          </w:tcPr>
          <w:p>
            <w:pPr>
              <w:spacing w:after="0"/>
            </w:pPr>
            <w:r/>
            <w:r>
              <w:rPr>
                <w:rFonts w:ascii="Aptos" w:hAnsi="Aptos" w:eastAsia="Aptos"/>
                <w:b/>
                <w:sz w:val="17"/>
              </w:rPr>
              <w:t>Example failure flag</w:t>
            </w:r>
          </w:p>
        </w:tc>
      </w:tr>
      <w:tr>
        <w:trPr>
          <w:cantSplit/>
        </w:trPr>
        <w:tc>
          <w:tcPr>
            <w:tcW w:type="dxa" w:w="3312"/>
            <w:vAlign w:val="top"/>
          </w:tcPr>
          <w:p>
            <w:pPr>
              <w:spacing w:after="0"/>
            </w:pPr>
            <w:r/>
            <w:r>
              <w:rPr>
                <w:rFonts w:ascii="Aptos" w:hAnsi="Aptos" w:eastAsia="Aptos"/>
                <w:b w:val="0"/>
                <w:sz w:val="16"/>
              </w:rPr>
              <w:t>Precursor plausibility</w:t>
            </w:r>
          </w:p>
        </w:tc>
        <w:tc>
          <w:tcPr>
            <w:tcW w:type="dxa" w:w="3312"/>
            <w:vAlign w:val="top"/>
          </w:tcPr>
          <w:p>
            <w:pPr>
              <w:spacing w:after="0"/>
            </w:pPr>
            <w:r/>
            <w:r>
              <w:rPr>
                <w:rFonts w:ascii="Aptos" w:hAnsi="Aptos" w:eastAsia="Aptos"/>
                <w:b w:val="0"/>
                <w:sz w:val="16"/>
              </w:rPr>
              <w:t>Are the precursor identities and classes reasonable for the target chemistry and synthesis modality?</w:t>
            </w:r>
          </w:p>
        </w:tc>
        <w:tc>
          <w:tcPr>
            <w:tcW w:type="dxa" w:w="3312"/>
            <w:vAlign w:val="top"/>
          </w:tcPr>
          <w:p>
            <w:pPr>
              <w:spacing w:after="0"/>
            </w:pPr>
            <w:r/>
            <w:r>
              <w:rPr>
                <w:rFonts w:ascii="Aptos" w:hAnsi="Aptos" w:eastAsia="Aptos"/>
                <w:b w:val="0"/>
                <w:sz w:val="16"/>
              </w:rPr>
              <w:t>A volatile precursor is used at high temperature without containment or excess.</w:t>
            </w:r>
          </w:p>
        </w:tc>
      </w:tr>
      <w:tr>
        <w:trPr>
          <w:cantSplit/>
        </w:trPr>
        <w:tc>
          <w:tcPr>
            <w:tcW w:type="dxa" w:w="3312"/>
            <w:vAlign w:val="top"/>
          </w:tcPr>
          <w:p>
            <w:pPr>
              <w:spacing w:after="0"/>
            </w:pPr>
            <w:r/>
            <w:r>
              <w:rPr>
                <w:rFonts w:ascii="Aptos" w:hAnsi="Aptos" w:eastAsia="Aptos"/>
                <w:b w:val="0"/>
                <w:sz w:val="16"/>
              </w:rPr>
              <w:t>Condition compatibility</w:t>
            </w:r>
          </w:p>
        </w:tc>
        <w:tc>
          <w:tcPr>
            <w:tcW w:type="dxa" w:w="3312"/>
            <w:vAlign w:val="top"/>
          </w:tcPr>
          <w:p>
            <w:pPr>
              <w:spacing w:after="0"/>
            </w:pPr>
            <w:r/>
            <w:r>
              <w:rPr>
                <w:rFonts w:ascii="Aptos" w:hAnsi="Aptos" w:eastAsia="Aptos"/>
                <w:b w:val="0"/>
                <w:sz w:val="16"/>
              </w:rPr>
              <w:t>Are temperature, time, atmosphere, pH, solvent, and pressure compatible with precursors and target?</w:t>
            </w:r>
          </w:p>
        </w:tc>
        <w:tc>
          <w:tcPr>
            <w:tcW w:type="dxa" w:w="3312"/>
            <w:vAlign w:val="top"/>
          </w:tcPr>
          <w:p>
            <w:pPr>
              <w:spacing w:after="0"/>
            </w:pPr>
            <w:r/>
            <w:r>
              <w:rPr>
                <w:rFonts w:ascii="Aptos" w:hAnsi="Aptos" w:eastAsia="Aptos"/>
                <w:b w:val="0"/>
                <w:sz w:val="16"/>
              </w:rPr>
              <w:t>Air atmosphere is proposed for an oxygen-sensitive sulfide route.</w:t>
            </w:r>
          </w:p>
        </w:tc>
      </w:tr>
      <w:tr>
        <w:trPr>
          <w:cantSplit/>
        </w:trPr>
        <w:tc>
          <w:tcPr>
            <w:tcW w:type="dxa" w:w="3312"/>
            <w:vAlign w:val="top"/>
          </w:tcPr>
          <w:p>
            <w:pPr>
              <w:spacing w:after="0"/>
            </w:pPr>
            <w:r/>
            <w:r>
              <w:rPr>
                <w:rFonts w:ascii="Aptos" w:hAnsi="Aptos" w:eastAsia="Aptos"/>
                <w:b w:val="0"/>
                <w:sz w:val="16"/>
              </w:rPr>
              <w:t>Operation completeness</w:t>
            </w:r>
          </w:p>
        </w:tc>
        <w:tc>
          <w:tcPr>
            <w:tcW w:type="dxa" w:w="3312"/>
            <w:vAlign w:val="top"/>
          </w:tcPr>
          <w:p>
            <w:pPr>
              <w:spacing w:after="0"/>
            </w:pPr>
            <w:r/>
            <w:r>
              <w:rPr>
                <w:rFonts w:ascii="Aptos" w:hAnsi="Aptos" w:eastAsia="Aptos"/>
                <w:b w:val="0"/>
                <w:sz w:val="16"/>
              </w:rPr>
              <w:t>Does the route include essential steps such as grinding, drying, washing, regrinding, annealing, or quenching?</w:t>
            </w:r>
          </w:p>
        </w:tc>
        <w:tc>
          <w:tcPr>
            <w:tcW w:type="dxa" w:w="3312"/>
            <w:vAlign w:val="top"/>
          </w:tcPr>
          <w:p>
            <w:pPr>
              <w:spacing w:after="0"/>
            </w:pPr>
            <w:r/>
            <w:r>
              <w:rPr>
                <w:rFonts w:ascii="Aptos" w:hAnsi="Aptos" w:eastAsia="Aptos"/>
                <w:b w:val="0"/>
                <w:sz w:val="16"/>
              </w:rPr>
              <w:t>Solid-state route lacks mixing or regrinding for sluggish multicomponent diffusion.</w:t>
            </w:r>
          </w:p>
        </w:tc>
      </w:tr>
      <w:tr>
        <w:trPr>
          <w:cantSplit/>
        </w:trPr>
        <w:tc>
          <w:tcPr>
            <w:tcW w:type="dxa" w:w="3312"/>
            <w:vAlign w:val="top"/>
          </w:tcPr>
          <w:p>
            <w:pPr>
              <w:spacing w:after="0"/>
            </w:pPr>
            <w:r/>
            <w:r>
              <w:rPr>
                <w:rFonts w:ascii="Aptos" w:hAnsi="Aptos" w:eastAsia="Aptos"/>
                <w:b w:val="0"/>
                <w:sz w:val="16"/>
              </w:rPr>
              <w:t>Literature analogy</w:t>
            </w:r>
          </w:p>
        </w:tc>
        <w:tc>
          <w:tcPr>
            <w:tcW w:type="dxa" w:w="3312"/>
            <w:vAlign w:val="top"/>
          </w:tcPr>
          <w:p>
            <w:pPr>
              <w:spacing w:after="0"/>
            </w:pPr>
            <w:r/>
            <w:r>
              <w:rPr>
                <w:rFonts w:ascii="Aptos" w:hAnsi="Aptos" w:eastAsia="Aptos"/>
                <w:b w:val="0"/>
                <w:sz w:val="16"/>
              </w:rPr>
              <w:t>Do retrieved recipes provide close support for the proposed route?</w:t>
            </w:r>
          </w:p>
        </w:tc>
        <w:tc>
          <w:tcPr>
            <w:tcW w:type="dxa" w:w="3312"/>
            <w:vAlign w:val="top"/>
          </w:tcPr>
          <w:p>
            <w:pPr>
              <w:spacing w:after="0"/>
            </w:pPr>
            <w:r/>
            <w:r>
              <w:rPr>
                <w:rFonts w:ascii="Aptos" w:hAnsi="Aptos" w:eastAsia="Aptos"/>
                <w:b w:val="0"/>
                <w:sz w:val="16"/>
              </w:rPr>
              <w:t>Only distant analogs exist and the target contains a chemically distinct volatile element.</w:t>
            </w:r>
          </w:p>
        </w:tc>
      </w:tr>
      <w:tr>
        <w:trPr>
          <w:cantSplit/>
        </w:trPr>
        <w:tc>
          <w:tcPr>
            <w:tcW w:type="dxa" w:w="3312"/>
            <w:vAlign w:val="top"/>
          </w:tcPr>
          <w:p>
            <w:pPr>
              <w:spacing w:after="0"/>
            </w:pPr>
            <w:r/>
            <w:r>
              <w:rPr>
                <w:rFonts w:ascii="Aptos" w:hAnsi="Aptos" w:eastAsia="Aptos"/>
                <w:b w:val="0"/>
                <w:sz w:val="16"/>
              </w:rPr>
              <w:t>Competing phase risk</w:t>
            </w:r>
          </w:p>
        </w:tc>
        <w:tc>
          <w:tcPr>
            <w:tcW w:type="dxa" w:w="3312"/>
            <w:vAlign w:val="top"/>
          </w:tcPr>
          <w:p>
            <w:pPr>
              <w:spacing w:after="0"/>
            </w:pPr>
            <w:r/>
            <w:r>
              <w:rPr>
                <w:rFonts w:ascii="Aptos" w:hAnsi="Aptos" w:eastAsia="Aptos"/>
                <w:b w:val="0"/>
                <w:sz w:val="16"/>
              </w:rPr>
              <w:t>Does the route invite stable binary or ternary byproducts that may trap the reaction?</w:t>
            </w:r>
          </w:p>
        </w:tc>
        <w:tc>
          <w:tcPr>
            <w:tcW w:type="dxa" w:w="3312"/>
            <w:vAlign w:val="top"/>
          </w:tcPr>
          <w:p>
            <w:pPr>
              <w:spacing w:after="0"/>
            </w:pPr>
            <w:r/>
            <w:r>
              <w:rPr>
                <w:rFonts w:ascii="Aptos" w:hAnsi="Aptos" w:eastAsia="Aptos"/>
                <w:b w:val="0"/>
                <w:sz w:val="16"/>
              </w:rPr>
              <w:t>Strongly favored intermediate phases form from a precursor pair before the target can form.</w:t>
            </w:r>
          </w:p>
        </w:tc>
      </w:tr>
      <w:tr>
        <w:trPr>
          <w:cantSplit/>
        </w:trPr>
        <w:tc>
          <w:tcPr>
            <w:tcW w:type="dxa" w:w="3312"/>
            <w:vAlign w:val="top"/>
          </w:tcPr>
          <w:p>
            <w:pPr>
              <w:spacing w:after="0"/>
            </w:pPr>
            <w:r/>
            <w:r>
              <w:rPr>
                <w:rFonts w:ascii="Aptos" w:hAnsi="Aptos" w:eastAsia="Aptos"/>
                <w:b w:val="0"/>
                <w:sz w:val="16"/>
              </w:rPr>
              <w:t>Practicality</w:t>
            </w:r>
          </w:p>
        </w:tc>
        <w:tc>
          <w:tcPr>
            <w:tcW w:type="dxa" w:w="3312"/>
            <w:vAlign w:val="top"/>
          </w:tcPr>
          <w:p>
            <w:pPr>
              <w:spacing w:after="0"/>
            </w:pPr>
            <w:r/>
            <w:r>
              <w:rPr>
                <w:rFonts w:ascii="Aptos" w:hAnsi="Aptos" w:eastAsia="Aptos"/>
                <w:b w:val="0"/>
                <w:sz w:val="16"/>
              </w:rPr>
              <w:t>Is the route realistic under stated lab constraints?</w:t>
            </w:r>
          </w:p>
        </w:tc>
        <w:tc>
          <w:tcPr>
            <w:tcW w:type="dxa" w:w="3312"/>
            <w:vAlign w:val="top"/>
          </w:tcPr>
          <w:p>
            <w:pPr>
              <w:spacing w:after="0"/>
            </w:pPr>
            <w:r/>
            <w:r>
              <w:rPr>
                <w:rFonts w:ascii="Aptos" w:hAnsi="Aptos" w:eastAsia="Aptos"/>
                <w:b w:val="0"/>
                <w:sz w:val="16"/>
              </w:rPr>
              <w:t>Route requires sealed ampoule, high pressure, or hazardous gas not in the allowed equipment list.</w:t>
            </w:r>
          </w:p>
        </w:tc>
      </w:tr>
    </w:tbl>
    <w:p>
      <w:pPr>
        <w:pStyle w:val="CaptionSmall"/>
      </w:pPr>
      <w:r>
        <w:t>Table 3. Proposed LLM judge rubric.</w:t>
      </w:r>
    </w:p>
    <w:p>
      <w:pPr>
        <w:pStyle w:val="Heading2"/>
      </w:pPr>
      <w:r>
        <w:t>9.3 Calibration and guardrails</w:t>
      </w:r>
    </w:p>
    <w:p>
      <w:pPr/>
      <w:r>
        <w:t>The judge should be calibrated against held-out literature routes, expert ratings, and any available failed synthesis outcomes. Calibration should measure whether higher LLM scores correlate with route recovery, expert plausibility, or experimental success. The framework should also track judge uncertainty and disagreement across prompt variants or model instances. Routes with high LLM scores but weak hard-constraint scores should be flagged for review rather than automatically promoted.</w:t>
      </w:r>
    </w:p>
    <w:p>
      <w:pPr/>
      <w:r>
        <w:t>The most important guardrail is evidence grounding. The judge should be instructed that unsupported novelty is a risk, not a virtue, for synthesis planning. A route that is chemically creative but unsupported by analogs, thermodynamics, or hard constraints should receive an uncertainty penalty. Conversely, a route that is similar to known recipes but adapted to a new target family should receive a transparent analogy score rather than an unqualified success prediction.</w:t>
      </w:r>
    </w:p>
    <w:p>
      <w:pPr>
        <w:pStyle w:val="Heading2"/>
      </w:pPr>
      <w:r>
        <w:t>9.4 Role in partial-state search</w:t>
      </w:r>
    </w:p>
    <w:p>
      <w:pPr/>
      <w:r>
        <w:t>The LLM judge can evaluate complete routes, but it can also help score partial routes. For example, after precursor selection but before condition selection, the judge can flag whether the precursor set is missing an oxidant, reducing environment, sulfur source, mineralizer, or volatile-component excess. After an initial thermal schedule is proposed, the judge can flag whether regrinding or a second anneal is likely required. Partial-state judging should be used sparingly because it is more expensive than simple heuristics, but it can improve search when the tree reaches chemically subtle branches.</w:t>
      </w:r>
    </w:p>
    <w:p>
      <w:pPr>
        <w:pStyle w:val="Heading1"/>
      </w:pPr>
      <w:r>
        <w:t>10. Evaluation Plan</w:t>
      </w:r>
    </w:p>
    <w:p>
      <w:pPr/>
      <w:r>
        <w:t>Evaluation should be framed around route plausibility and target realization, not around a single exact-route label. Because inorganic materials can often be synthesized by multiple routes, the held-out literature recipe is one valid answer rather than the only valid answer. The evaluation plan should therefore combine retrospective metrics, expert assessment, ablations, and prospective validation.</w:t>
      </w:r>
    </w:p>
    <w:p>
      <w:pPr>
        <w:pStyle w:val="Heading2"/>
      </w:pPr>
      <w:r>
        <w:t>10.1 Retrospective metrics</w:t>
      </w:r>
    </w:p>
    <w:tbl>
      <w:tblPr>
        <w:tblStyle w:val="TableGrid"/>
        <w:tblW w:type="auto" w:w="0"/>
        <w:jc w:val="center"/>
        <w:tblLook w:firstColumn="1" w:firstRow="1" w:lastColumn="0" w:lastRow="0" w:noHBand="0" w:noVBand="1" w:val="04A0"/>
      </w:tblPr>
      <w:tblGrid>
        <w:gridCol w:w="3312"/>
        <w:gridCol w:w="3312"/>
        <w:gridCol w:w="3312"/>
      </w:tblGrid>
      <w:tr>
        <w:trPr>
          <w:tblHeader w:val="true"/>
          <w:cantSplit/>
        </w:trPr>
        <w:tc>
          <w:tcPr>
            <w:tcW w:type="dxa" w:w="3312"/>
            <w:shd w:fill="D9EAF7"/>
            <w:vAlign w:val="center"/>
          </w:tcPr>
          <w:p>
            <w:pPr>
              <w:spacing w:after="0"/>
            </w:pPr>
            <w:r/>
            <w:r>
              <w:rPr>
                <w:rFonts w:ascii="Aptos" w:hAnsi="Aptos" w:eastAsia="Aptos"/>
                <w:b/>
                <w:sz w:val="17"/>
              </w:rPr>
              <w:t>Metric</w:t>
            </w:r>
          </w:p>
        </w:tc>
        <w:tc>
          <w:tcPr>
            <w:tcW w:type="dxa" w:w="3312"/>
            <w:shd w:fill="D9EAF7"/>
            <w:vAlign w:val="center"/>
          </w:tcPr>
          <w:p>
            <w:pPr>
              <w:spacing w:after="0"/>
            </w:pPr>
            <w:r/>
            <w:r>
              <w:rPr>
                <w:rFonts w:ascii="Aptos" w:hAnsi="Aptos" w:eastAsia="Aptos"/>
                <w:b/>
                <w:sz w:val="17"/>
              </w:rPr>
              <w:t>Definition</w:t>
            </w:r>
          </w:p>
        </w:tc>
        <w:tc>
          <w:tcPr>
            <w:tcW w:type="dxa" w:w="3312"/>
            <w:shd w:fill="D9EAF7"/>
            <w:vAlign w:val="center"/>
          </w:tcPr>
          <w:p>
            <w:pPr>
              <w:spacing w:after="0"/>
            </w:pPr>
            <w:r/>
            <w:r>
              <w:rPr>
                <w:rFonts w:ascii="Aptos" w:hAnsi="Aptos" w:eastAsia="Aptos"/>
                <w:b/>
                <w:sz w:val="17"/>
              </w:rPr>
              <w:t>Interpretation</w:t>
            </w:r>
          </w:p>
        </w:tc>
      </w:tr>
      <w:tr>
        <w:trPr>
          <w:cantSplit/>
        </w:trPr>
        <w:tc>
          <w:tcPr>
            <w:tcW w:type="dxa" w:w="3312"/>
            <w:vAlign w:val="top"/>
          </w:tcPr>
          <w:p>
            <w:pPr>
              <w:spacing w:after="0"/>
            </w:pPr>
            <w:r/>
            <w:r>
              <w:rPr>
                <w:rFonts w:ascii="Aptos" w:hAnsi="Aptos" w:eastAsia="Aptos"/>
                <w:b w:val="0"/>
                <w:sz w:val="16"/>
              </w:rPr>
              <w:t>Top-k precursor recall</w:t>
            </w:r>
          </w:p>
        </w:tc>
        <w:tc>
          <w:tcPr>
            <w:tcW w:type="dxa" w:w="3312"/>
            <w:vAlign w:val="top"/>
          </w:tcPr>
          <w:p>
            <w:pPr>
              <w:spacing w:after="0"/>
            </w:pPr>
            <w:r/>
            <w:r>
              <w:rPr>
                <w:rFonts w:ascii="Aptos" w:hAnsi="Aptos" w:eastAsia="Aptos"/>
                <w:b w:val="0"/>
                <w:sz w:val="16"/>
              </w:rPr>
              <w:t>Fraction of held-out literature precursor sets recovered exactly or by precursor class within top-k routes.</w:t>
            </w:r>
          </w:p>
        </w:tc>
        <w:tc>
          <w:tcPr>
            <w:tcW w:type="dxa" w:w="3312"/>
            <w:vAlign w:val="top"/>
          </w:tcPr>
          <w:p>
            <w:pPr>
              <w:spacing w:after="0"/>
            </w:pPr>
            <w:r/>
            <w:r>
              <w:rPr>
                <w:rFonts w:ascii="Aptos" w:hAnsi="Aptos" w:eastAsia="Aptos"/>
                <w:b w:val="0"/>
                <w:sz w:val="16"/>
              </w:rPr>
              <w:t>Measures whether the planner identifies reasonable chemical inputs.</w:t>
            </w:r>
          </w:p>
        </w:tc>
      </w:tr>
      <w:tr>
        <w:trPr>
          <w:cantSplit/>
        </w:trPr>
        <w:tc>
          <w:tcPr>
            <w:tcW w:type="dxa" w:w="3312"/>
            <w:vAlign w:val="top"/>
          </w:tcPr>
          <w:p>
            <w:pPr>
              <w:spacing w:after="0"/>
            </w:pPr>
            <w:r/>
            <w:r>
              <w:rPr>
                <w:rFonts w:ascii="Aptos" w:hAnsi="Aptos" w:eastAsia="Aptos"/>
                <w:b w:val="0"/>
                <w:sz w:val="16"/>
              </w:rPr>
              <w:t>Element and stoichiometry validity</w:t>
            </w:r>
          </w:p>
        </w:tc>
        <w:tc>
          <w:tcPr>
            <w:tcW w:type="dxa" w:w="3312"/>
            <w:vAlign w:val="top"/>
          </w:tcPr>
          <w:p>
            <w:pPr>
              <w:spacing w:after="0"/>
            </w:pPr>
            <w:r/>
            <w:r>
              <w:rPr>
                <w:rFonts w:ascii="Aptos" w:hAnsi="Aptos" w:eastAsia="Aptos"/>
                <w:b w:val="0"/>
                <w:sz w:val="16"/>
              </w:rPr>
              <w:t>Fraction of routes that cover all elements and produce a balanceable reaction.</w:t>
            </w:r>
          </w:p>
        </w:tc>
        <w:tc>
          <w:tcPr>
            <w:tcW w:type="dxa" w:w="3312"/>
            <w:vAlign w:val="top"/>
          </w:tcPr>
          <w:p>
            <w:pPr>
              <w:spacing w:after="0"/>
            </w:pPr>
            <w:r/>
            <w:r>
              <w:rPr>
                <w:rFonts w:ascii="Aptos" w:hAnsi="Aptos" w:eastAsia="Aptos"/>
                <w:b w:val="0"/>
                <w:sz w:val="16"/>
              </w:rPr>
              <w:t>Measures basic chemical validity.</w:t>
            </w:r>
          </w:p>
        </w:tc>
      </w:tr>
      <w:tr>
        <w:trPr>
          <w:cantSplit/>
        </w:trPr>
        <w:tc>
          <w:tcPr>
            <w:tcW w:type="dxa" w:w="3312"/>
            <w:vAlign w:val="top"/>
          </w:tcPr>
          <w:p>
            <w:pPr>
              <w:spacing w:after="0"/>
            </w:pPr>
            <w:r/>
            <w:r>
              <w:rPr>
                <w:rFonts w:ascii="Aptos" w:hAnsi="Aptos" w:eastAsia="Aptos"/>
                <w:b w:val="0"/>
                <w:sz w:val="16"/>
              </w:rPr>
              <w:t>Operation F1 or edit similarity</w:t>
            </w:r>
          </w:p>
        </w:tc>
        <w:tc>
          <w:tcPr>
            <w:tcW w:type="dxa" w:w="3312"/>
            <w:vAlign w:val="top"/>
          </w:tcPr>
          <w:p>
            <w:pPr>
              <w:spacing w:after="0"/>
            </w:pPr>
            <w:r/>
            <w:r>
              <w:rPr>
                <w:rFonts w:ascii="Aptos" w:hAnsi="Aptos" w:eastAsia="Aptos"/>
                <w:b w:val="0"/>
                <w:sz w:val="16"/>
              </w:rPr>
              <w:t>Similarity between generated operation sequence and held-out sequence after mapping operations to a controlled vocabulary.</w:t>
            </w:r>
          </w:p>
        </w:tc>
        <w:tc>
          <w:tcPr>
            <w:tcW w:type="dxa" w:w="3312"/>
            <w:vAlign w:val="top"/>
          </w:tcPr>
          <w:p>
            <w:pPr>
              <w:spacing w:after="0"/>
            </w:pPr>
            <w:r/>
            <w:r>
              <w:rPr>
                <w:rFonts w:ascii="Aptos" w:hAnsi="Aptos" w:eastAsia="Aptos"/>
                <w:b w:val="0"/>
                <w:sz w:val="16"/>
              </w:rPr>
              <w:t>Measures procedure-level recovery without requiring identical prose.</w:t>
            </w:r>
          </w:p>
        </w:tc>
      </w:tr>
      <w:tr>
        <w:trPr>
          <w:cantSplit/>
        </w:trPr>
        <w:tc>
          <w:tcPr>
            <w:tcW w:type="dxa" w:w="3312"/>
            <w:vAlign w:val="top"/>
          </w:tcPr>
          <w:p>
            <w:pPr>
              <w:spacing w:after="0"/>
            </w:pPr>
            <w:r/>
            <w:r>
              <w:rPr>
                <w:rFonts w:ascii="Aptos" w:hAnsi="Aptos" w:eastAsia="Aptos"/>
                <w:b w:val="0"/>
                <w:sz w:val="16"/>
              </w:rPr>
              <w:t>Condition error</w:t>
            </w:r>
          </w:p>
        </w:tc>
        <w:tc>
          <w:tcPr>
            <w:tcW w:type="dxa" w:w="3312"/>
            <w:vAlign w:val="top"/>
          </w:tcPr>
          <w:p>
            <w:pPr>
              <w:spacing w:after="0"/>
            </w:pPr>
            <w:r/>
            <w:r>
              <w:rPr>
                <w:rFonts w:ascii="Aptos" w:hAnsi="Aptos" w:eastAsia="Aptos"/>
                <w:b w:val="0"/>
                <w:sz w:val="16"/>
              </w:rPr>
              <w:t>Absolute or tolerance-based error for temperature, dwell time, atmosphere, pH, or solvent where available.</w:t>
            </w:r>
          </w:p>
        </w:tc>
        <w:tc>
          <w:tcPr>
            <w:tcW w:type="dxa" w:w="3312"/>
            <w:vAlign w:val="top"/>
          </w:tcPr>
          <w:p>
            <w:pPr>
              <w:spacing w:after="0"/>
            </w:pPr>
            <w:r/>
            <w:r>
              <w:rPr>
                <w:rFonts w:ascii="Aptos" w:hAnsi="Aptos" w:eastAsia="Aptos"/>
                <w:b w:val="0"/>
                <w:sz w:val="16"/>
              </w:rPr>
              <w:t>Measures whether proposed conditions fall near literature practice.</w:t>
            </w:r>
          </w:p>
        </w:tc>
      </w:tr>
      <w:tr>
        <w:trPr>
          <w:cantSplit/>
        </w:trPr>
        <w:tc>
          <w:tcPr>
            <w:tcW w:type="dxa" w:w="3312"/>
            <w:vAlign w:val="top"/>
          </w:tcPr>
          <w:p>
            <w:pPr>
              <w:spacing w:after="0"/>
            </w:pPr>
            <w:r/>
            <w:r>
              <w:rPr>
                <w:rFonts w:ascii="Aptos" w:hAnsi="Aptos" w:eastAsia="Aptos"/>
                <w:b w:val="0"/>
                <w:sz w:val="16"/>
              </w:rPr>
              <w:t>Analog support score</w:t>
            </w:r>
          </w:p>
        </w:tc>
        <w:tc>
          <w:tcPr>
            <w:tcW w:type="dxa" w:w="3312"/>
            <w:vAlign w:val="top"/>
          </w:tcPr>
          <w:p>
            <w:pPr>
              <w:spacing w:after="0"/>
            </w:pPr>
            <w:r/>
            <w:r>
              <w:rPr>
                <w:rFonts w:ascii="Aptos" w:hAnsi="Aptos" w:eastAsia="Aptos"/>
                <w:b w:val="0"/>
                <w:sz w:val="16"/>
              </w:rPr>
              <w:t>Similarity of generated route to retrieved successful recipes for related targets.</w:t>
            </w:r>
          </w:p>
        </w:tc>
        <w:tc>
          <w:tcPr>
            <w:tcW w:type="dxa" w:w="3312"/>
            <w:vAlign w:val="top"/>
          </w:tcPr>
          <w:p>
            <w:pPr>
              <w:spacing w:after="0"/>
            </w:pPr>
            <w:r/>
            <w:r>
              <w:rPr>
                <w:rFonts w:ascii="Aptos" w:hAnsi="Aptos" w:eastAsia="Aptos"/>
                <w:b w:val="0"/>
                <w:sz w:val="16"/>
              </w:rPr>
              <w:t>Measures evidence grounding and chemical analogy.</w:t>
            </w:r>
          </w:p>
        </w:tc>
      </w:tr>
      <w:tr>
        <w:trPr>
          <w:cantSplit/>
        </w:trPr>
        <w:tc>
          <w:tcPr>
            <w:tcW w:type="dxa" w:w="3312"/>
            <w:vAlign w:val="top"/>
          </w:tcPr>
          <w:p>
            <w:pPr>
              <w:spacing w:after="0"/>
            </w:pPr>
            <w:r/>
            <w:r>
              <w:rPr>
                <w:rFonts w:ascii="Aptos" w:hAnsi="Aptos" w:eastAsia="Aptos"/>
                <w:b w:val="0"/>
                <w:sz w:val="16"/>
              </w:rPr>
              <w:t>Expert plausibility rating</w:t>
            </w:r>
          </w:p>
        </w:tc>
        <w:tc>
          <w:tcPr>
            <w:tcW w:type="dxa" w:w="3312"/>
            <w:vAlign w:val="top"/>
          </w:tcPr>
          <w:p>
            <w:pPr>
              <w:spacing w:after="0"/>
            </w:pPr>
            <w:r/>
            <w:r>
              <w:rPr>
                <w:rFonts w:ascii="Aptos" w:hAnsi="Aptos" w:eastAsia="Aptos"/>
                <w:b w:val="0"/>
                <w:sz w:val="16"/>
              </w:rPr>
              <w:t>Blind expert scoring of generated and baseline routes.</w:t>
            </w:r>
          </w:p>
        </w:tc>
        <w:tc>
          <w:tcPr>
            <w:tcW w:type="dxa" w:w="3312"/>
            <w:vAlign w:val="top"/>
          </w:tcPr>
          <w:p>
            <w:pPr>
              <w:spacing w:after="0"/>
            </w:pPr>
            <w:r/>
            <w:r>
              <w:rPr>
                <w:rFonts w:ascii="Aptos" w:hAnsi="Aptos" w:eastAsia="Aptos"/>
                <w:b w:val="0"/>
                <w:sz w:val="16"/>
              </w:rPr>
              <w:t>Measures human-perceived feasibility and completeness.</w:t>
            </w:r>
          </w:p>
        </w:tc>
      </w:tr>
      <w:tr>
        <w:trPr>
          <w:cantSplit/>
        </w:trPr>
        <w:tc>
          <w:tcPr>
            <w:tcW w:type="dxa" w:w="3312"/>
            <w:vAlign w:val="top"/>
          </w:tcPr>
          <w:p>
            <w:pPr>
              <w:spacing w:after="0"/>
            </w:pPr>
            <w:r/>
            <w:r>
              <w:rPr>
                <w:rFonts w:ascii="Aptos" w:hAnsi="Aptos" w:eastAsia="Aptos"/>
                <w:b w:val="0"/>
                <w:sz w:val="16"/>
              </w:rPr>
              <w:t>Diversity-adjusted route quality</w:t>
            </w:r>
          </w:p>
        </w:tc>
        <w:tc>
          <w:tcPr>
            <w:tcW w:type="dxa" w:w="3312"/>
            <w:vAlign w:val="top"/>
          </w:tcPr>
          <w:p>
            <w:pPr>
              <w:spacing w:after="0"/>
            </w:pPr>
            <w:r/>
            <w:r>
              <w:rPr>
                <w:rFonts w:ascii="Aptos" w:hAnsi="Aptos" w:eastAsia="Aptos"/>
                <w:b w:val="0"/>
                <w:sz w:val="16"/>
              </w:rPr>
              <w:t>Quality of the top route portfolio after removing near-duplicates.</w:t>
            </w:r>
          </w:p>
        </w:tc>
        <w:tc>
          <w:tcPr>
            <w:tcW w:type="dxa" w:w="3312"/>
            <w:vAlign w:val="top"/>
          </w:tcPr>
          <w:p>
            <w:pPr>
              <w:spacing w:after="0"/>
            </w:pPr>
            <w:r/>
            <w:r>
              <w:rPr>
                <w:rFonts w:ascii="Aptos" w:hAnsi="Aptos" w:eastAsia="Aptos"/>
                <w:b w:val="0"/>
                <w:sz w:val="16"/>
              </w:rPr>
              <w:t>Measures whether the planner provides useful alternatives rather than repeated variants.</w:t>
            </w:r>
          </w:p>
        </w:tc>
      </w:tr>
    </w:tbl>
    <w:p>
      <w:pPr>
        <w:pStyle w:val="CaptionSmall"/>
      </w:pPr>
      <w:r>
        <w:t>Table 4. Retrospective and expert evaluation metrics.</w:t>
      </w:r>
    </w:p>
    <w:p>
      <w:pPr>
        <w:pStyle w:val="Heading2"/>
      </w:pPr>
      <w:r>
        <w:t>10.2 Baselines</w:t>
      </w:r>
    </w:p>
    <w:p>
      <w:pPr/>
      <w:r>
        <w:t>The planner should be compared against several baselines so that the contribution of MCTS and LLM judging is clear:</w:t>
      </w:r>
    </w:p>
    <w:p>
      <w:pPr>
        <w:pStyle w:val="ListBullet"/>
        <w:spacing w:after="60"/>
      </w:pPr>
      <w:r>
        <w:t>Nearest-neighbor retrieval: return the route of the most similar known target with minimal adaptation.</w:t>
      </w:r>
    </w:p>
    <w:p>
      <w:pPr>
        <w:pStyle w:val="ListBullet"/>
        <w:spacing w:after="60"/>
      </w:pPr>
      <w:r>
        <w:t>Frequency prior baseline: choose the most common precursor classes and operation template for the target element set or material family.</w:t>
      </w:r>
    </w:p>
    <w:p>
      <w:pPr>
        <w:pStyle w:val="ListBullet"/>
        <w:spacing w:after="60"/>
      </w:pPr>
      <w:r>
        <w:t>Beam search without tree backup: expand top-ranked actions greedily using the same policy priors but without MCTS exploration.</w:t>
      </w:r>
    </w:p>
    <w:p>
      <w:pPr>
        <w:pStyle w:val="ListBullet"/>
        <w:spacing w:after="60"/>
      </w:pPr>
      <w:r>
        <w:t>LLM-only planner: ask an LLM to propose a route with no structured search, then score the output with the same hard checks.</w:t>
      </w:r>
    </w:p>
    <w:p>
      <w:pPr>
        <w:pStyle w:val="ListBullet"/>
        <w:spacing w:after="60"/>
      </w:pPr>
      <w:r>
        <w:t>MCTS without LLM judge: remove the LLM value term to quantify whether the judge improves ranking or only adds cost.</w:t>
      </w:r>
    </w:p>
    <w:p>
      <w:pPr>
        <w:pStyle w:val="ListBullet"/>
        <w:spacing w:after="60"/>
      </w:pPr>
      <w:r>
        <w:t>MCTS without retrieval: remove analogous recipes to test whether literature grounding is essential.</w:t>
      </w:r>
    </w:p>
    <w:p>
      <w:pPr>
        <w:pStyle w:val="ListBullet"/>
        <w:spacing w:after="60"/>
      </w:pPr>
      <w:r>
        <w:t>MCTS without thermodynamics: remove phase and reaction energetics to test whether computed physics improves ranking.</w:t>
      </w:r>
    </w:p>
    <w:p>
      <w:pPr>
        <w:pStyle w:val="Heading2"/>
      </w:pPr>
      <w:r>
        <w:t>10.3 Ablation studies</w:t>
      </w:r>
    </w:p>
    <w:p>
      <w:pPr/>
      <w:r>
        <w:t>Ablations should report both accuracy and failure-mode changes. For example, removing thermodynamic features may not reduce precursor recall but may increase routes that form stable competing phases. Removing retrieval may reduce condition accuracy. Removing the LLM judge may increase missing-step errors. Removing hard constraints may increase formally invalid but fluent routes. These analyses will clarify which component contributes which type of chemical reasoning.</w:t>
      </w:r>
    </w:p>
    <w:p>
      <w:pPr>
        <w:pStyle w:val="Heading2"/>
      </w:pPr>
      <w:r>
        <w:t>10.4 Prospective validation</w:t>
      </w:r>
    </w:p>
    <w:p>
      <w:pPr/>
      <w:r>
        <w:t>Prospective validation should be modest but decisive. A feasible design is to select a small set of target materials across different chemical families and ask the planner to propose a ranked portfolio of routes under actual laboratory constraints. Each route should be attempted with predefined characterization criteria, such as powder XRD phase identification, Rietveld refinement when possible, and comparison to predicted or known diffraction patterns. Success can be graded as target majority phase, target minority phase, target absent but informative intermediates, or inconclusive.</w:t>
      </w:r>
    </w:p>
    <w:p>
      <w:pPr/>
      <w:r>
        <w:t>Prospective validation should include both known targets with literature recipes and targets whose literature routes are absent or deliberately hidden. Known targets test whether the planner can recover established practice. Less documented targets test whether route analogy and physics-based reasoning can produce useful new suggestions. Negative and partial outcomes should be retained in the route schema because failed attempts are especially valuable for improving future search.</w:t>
      </w:r>
    </w:p>
    <w:p>
      <w:pPr>
        <w:pStyle w:val="Heading1"/>
      </w:pPr>
      <w:r>
        <w:t>11. Work Plan and Milestones</w:t>
      </w:r>
    </w:p>
    <w:tbl>
      <w:tblPr>
        <w:tblStyle w:val="TableGrid"/>
        <w:tblW w:type="auto" w:w="0"/>
        <w:jc w:val="center"/>
        <w:tblLook w:firstColumn="1" w:firstRow="1" w:lastColumn="0" w:lastRow="0" w:noHBand="0" w:noVBand="1" w:val="04A0"/>
      </w:tblPr>
      <w:tblGrid>
        <w:gridCol w:w="3312"/>
        <w:gridCol w:w="3312"/>
        <w:gridCol w:w="3312"/>
      </w:tblGrid>
      <w:tr>
        <w:trPr>
          <w:tblHeader w:val="true"/>
          <w:cantSplit/>
        </w:trPr>
        <w:tc>
          <w:tcPr>
            <w:tcW w:type="dxa" w:w="3312"/>
            <w:shd w:fill="D9EAF7"/>
            <w:vAlign w:val="center"/>
          </w:tcPr>
          <w:p>
            <w:pPr>
              <w:spacing w:after="0"/>
            </w:pPr>
            <w:r/>
            <w:r>
              <w:rPr>
                <w:rFonts w:ascii="Aptos" w:hAnsi="Aptos" w:eastAsia="Aptos"/>
                <w:b/>
                <w:sz w:val="17"/>
              </w:rPr>
              <w:t>Milestone</w:t>
            </w:r>
          </w:p>
        </w:tc>
        <w:tc>
          <w:tcPr>
            <w:tcW w:type="dxa" w:w="3312"/>
            <w:shd w:fill="D9EAF7"/>
            <w:vAlign w:val="center"/>
          </w:tcPr>
          <w:p>
            <w:pPr>
              <w:spacing w:after="0"/>
            </w:pPr>
            <w:r/>
            <w:r>
              <w:rPr>
                <w:rFonts w:ascii="Aptos" w:hAnsi="Aptos" w:eastAsia="Aptos"/>
                <w:b/>
                <w:sz w:val="17"/>
              </w:rPr>
              <w:t>Technical work</w:t>
            </w:r>
          </w:p>
        </w:tc>
        <w:tc>
          <w:tcPr>
            <w:tcW w:type="dxa" w:w="3312"/>
            <w:shd w:fill="D9EAF7"/>
            <w:vAlign w:val="center"/>
          </w:tcPr>
          <w:p>
            <w:pPr>
              <w:spacing w:after="0"/>
            </w:pPr>
            <w:r/>
            <w:r>
              <w:rPr>
                <w:rFonts w:ascii="Aptos" w:hAnsi="Aptos" w:eastAsia="Aptos"/>
                <w:b/>
                <w:sz w:val="17"/>
              </w:rPr>
              <w:t>Deliverable</w:t>
            </w:r>
          </w:p>
        </w:tc>
      </w:tr>
      <w:tr>
        <w:trPr>
          <w:cantSplit/>
        </w:trPr>
        <w:tc>
          <w:tcPr>
            <w:tcW w:type="dxa" w:w="3312"/>
            <w:vAlign w:val="top"/>
          </w:tcPr>
          <w:p>
            <w:pPr>
              <w:spacing w:after="0"/>
            </w:pPr>
            <w:r/>
            <w:r>
              <w:rPr>
                <w:rFonts w:ascii="Aptos" w:hAnsi="Aptos" w:eastAsia="Aptos"/>
                <w:b w:val="0"/>
                <w:sz w:val="16"/>
              </w:rPr>
              <w:t>M1: Route schema and grammar</w:t>
            </w:r>
          </w:p>
        </w:tc>
        <w:tc>
          <w:tcPr>
            <w:tcW w:type="dxa" w:w="3312"/>
            <w:vAlign w:val="top"/>
          </w:tcPr>
          <w:p>
            <w:pPr>
              <w:spacing w:after="0"/>
            </w:pPr>
            <w:r/>
            <w:r>
              <w:rPr>
                <w:rFonts w:ascii="Aptos" w:hAnsi="Aptos" w:eastAsia="Aptos"/>
                <w:b w:val="0"/>
                <w:sz w:val="16"/>
              </w:rPr>
              <w:t>Define solid-state route schema, controlled operation vocabulary, precursor classes, and hard constraints.</w:t>
            </w:r>
          </w:p>
        </w:tc>
        <w:tc>
          <w:tcPr>
            <w:tcW w:type="dxa" w:w="3312"/>
            <w:vAlign w:val="top"/>
          </w:tcPr>
          <w:p>
            <w:pPr>
              <w:spacing w:after="0"/>
            </w:pPr>
            <w:r/>
            <w:r>
              <w:rPr>
                <w:rFonts w:ascii="Aptos" w:hAnsi="Aptos" w:eastAsia="Aptos"/>
                <w:b w:val="0"/>
                <w:sz w:val="16"/>
              </w:rPr>
              <w:t>Validated schema; parser for dataset records; grammar-based route generator.</w:t>
            </w:r>
          </w:p>
        </w:tc>
      </w:tr>
      <w:tr>
        <w:trPr>
          <w:cantSplit/>
        </w:trPr>
        <w:tc>
          <w:tcPr>
            <w:tcW w:type="dxa" w:w="3312"/>
            <w:vAlign w:val="top"/>
          </w:tcPr>
          <w:p>
            <w:pPr>
              <w:spacing w:after="0"/>
            </w:pPr>
            <w:r/>
            <w:r>
              <w:rPr>
                <w:rFonts w:ascii="Aptos" w:hAnsi="Aptos" w:eastAsia="Aptos"/>
                <w:b w:val="0"/>
                <w:sz w:val="16"/>
              </w:rPr>
              <w:t>M2: Dataset normalization</w:t>
            </w:r>
          </w:p>
        </w:tc>
        <w:tc>
          <w:tcPr>
            <w:tcW w:type="dxa" w:w="3312"/>
            <w:vAlign w:val="top"/>
          </w:tcPr>
          <w:p>
            <w:pPr>
              <w:spacing w:after="0"/>
            </w:pPr>
            <w:r/>
            <w:r>
              <w:rPr>
                <w:rFonts w:ascii="Aptos" w:hAnsi="Aptos" w:eastAsia="Aptos"/>
                <w:b w:val="0"/>
                <w:sz w:val="16"/>
              </w:rPr>
              <w:t>Process solid-state and solution-based datasets into canonical route records with formula parsing, operation normalization, and condition slots.</w:t>
            </w:r>
          </w:p>
        </w:tc>
        <w:tc>
          <w:tcPr>
            <w:tcW w:type="dxa" w:w="3312"/>
            <w:vAlign w:val="top"/>
          </w:tcPr>
          <w:p>
            <w:pPr>
              <w:spacing w:after="0"/>
            </w:pPr>
            <w:r/>
            <w:r>
              <w:rPr>
                <w:rFonts w:ascii="Aptos" w:hAnsi="Aptos" w:eastAsia="Aptos"/>
                <w:b w:val="0"/>
                <w:sz w:val="16"/>
              </w:rPr>
              <w:t>Normalized route database; target-disjoint and chemistry-disjoint benchmark splits.</w:t>
            </w:r>
          </w:p>
        </w:tc>
      </w:tr>
      <w:tr>
        <w:trPr>
          <w:cantSplit/>
        </w:trPr>
        <w:tc>
          <w:tcPr>
            <w:tcW w:type="dxa" w:w="3312"/>
            <w:vAlign w:val="top"/>
          </w:tcPr>
          <w:p>
            <w:pPr>
              <w:spacing w:after="0"/>
            </w:pPr>
            <w:r/>
            <w:r>
              <w:rPr>
                <w:rFonts w:ascii="Aptos" w:hAnsi="Aptos" w:eastAsia="Aptos"/>
                <w:b w:val="0"/>
                <w:sz w:val="16"/>
              </w:rPr>
              <w:t>M3: Retrieval and heuristics</w:t>
            </w:r>
          </w:p>
        </w:tc>
        <w:tc>
          <w:tcPr>
            <w:tcW w:type="dxa" w:w="3312"/>
            <w:vAlign w:val="top"/>
          </w:tcPr>
          <w:p>
            <w:pPr>
              <w:spacing w:after="0"/>
            </w:pPr>
            <w:r/>
            <w:r>
              <w:rPr>
                <w:rFonts w:ascii="Aptos" w:hAnsi="Aptos" w:eastAsia="Aptos"/>
                <w:b w:val="0"/>
                <w:sz w:val="16"/>
              </w:rPr>
              <w:t>Implement target similarity, precursor-class priors, operation priors, condition priors, and thermodynamic scoring.</w:t>
            </w:r>
          </w:p>
        </w:tc>
        <w:tc>
          <w:tcPr>
            <w:tcW w:type="dxa" w:w="3312"/>
            <w:vAlign w:val="top"/>
          </w:tcPr>
          <w:p>
            <w:pPr>
              <w:spacing w:after="0"/>
            </w:pPr>
            <w:r/>
            <w:r>
              <w:rPr>
                <w:rFonts w:ascii="Aptos" w:hAnsi="Aptos" w:eastAsia="Aptos"/>
                <w:b w:val="0"/>
                <w:sz w:val="16"/>
              </w:rPr>
              <w:t>Retrieval engine; baseline route generator; interpretable route scoring features.</w:t>
            </w:r>
          </w:p>
        </w:tc>
      </w:tr>
      <w:tr>
        <w:trPr>
          <w:cantSplit/>
        </w:trPr>
        <w:tc>
          <w:tcPr>
            <w:tcW w:type="dxa" w:w="3312"/>
            <w:vAlign w:val="top"/>
          </w:tcPr>
          <w:p>
            <w:pPr>
              <w:spacing w:after="0"/>
            </w:pPr>
            <w:r/>
            <w:r>
              <w:rPr>
                <w:rFonts w:ascii="Aptos" w:hAnsi="Aptos" w:eastAsia="Aptos"/>
                <w:b w:val="0"/>
                <w:sz w:val="16"/>
              </w:rPr>
              <w:t>M4: MCTS planner</w:t>
            </w:r>
          </w:p>
        </w:tc>
        <w:tc>
          <w:tcPr>
            <w:tcW w:type="dxa" w:w="3312"/>
            <w:vAlign w:val="top"/>
          </w:tcPr>
          <w:p>
            <w:pPr>
              <w:spacing w:after="0"/>
            </w:pPr>
            <w:r/>
            <w:r>
              <w:rPr>
                <w:rFonts w:ascii="Aptos" w:hAnsi="Aptos" w:eastAsia="Aptos"/>
                <w:b w:val="0"/>
                <w:sz w:val="16"/>
              </w:rPr>
              <w:t>Implement MCTS selection, expansion, rollout, backup, and diversity-aware portfolio selection.</w:t>
            </w:r>
          </w:p>
        </w:tc>
        <w:tc>
          <w:tcPr>
            <w:tcW w:type="dxa" w:w="3312"/>
            <w:vAlign w:val="top"/>
          </w:tcPr>
          <w:p>
            <w:pPr>
              <w:spacing w:after="0"/>
            </w:pPr>
            <w:r/>
            <w:r>
              <w:rPr>
                <w:rFonts w:ascii="Aptos" w:hAnsi="Aptos" w:eastAsia="Aptos"/>
                <w:b w:val="0"/>
                <w:sz w:val="16"/>
              </w:rPr>
              <w:t>End-to-end route planner producing ranked synthesis routes.</w:t>
            </w:r>
          </w:p>
        </w:tc>
      </w:tr>
      <w:tr>
        <w:trPr>
          <w:cantSplit/>
        </w:trPr>
        <w:tc>
          <w:tcPr>
            <w:tcW w:type="dxa" w:w="3312"/>
            <w:vAlign w:val="top"/>
          </w:tcPr>
          <w:p>
            <w:pPr>
              <w:spacing w:after="0"/>
            </w:pPr>
            <w:r/>
            <w:r>
              <w:rPr>
                <w:rFonts w:ascii="Aptos" w:hAnsi="Aptos" w:eastAsia="Aptos"/>
                <w:b w:val="0"/>
                <w:sz w:val="16"/>
              </w:rPr>
              <w:t>M5: LLM judge</w:t>
            </w:r>
          </w:p>
        </w:tc>
        <w:tc>
          <w:tcPr>
            <w:tcW w:type="dxa" w:w="3312"/>
            <w:vAlign w:val="top"/>
          </w:tcPr>
          <w:p>
            <w:pPr>
              <w:spacing w:after="0"/>
            </w:pPr>
            <w:r/>
            <w:r>
              <w:rPr>
                <w:rFonts w:ascii="Aptos" w:hAnsi="Aptos" w:eastAsia="Aptos"/>
                <w:b w:val="0"/>
                <w:sz w:val="16"/>
              </w:rPr>
              <w:t>Develop retrieval-grounded judge prompts, structured outputs, calibration, uncertainty, and guardrails.</w:t>
            </w:r>
          </w:p>
        </w:tc>
        <w:tc>
          <w:tcPr>
            <w:tcW w:type="dxa" w:w="3312"/>
            <w:vAlign w:val="top"/>
          </w:tcPr>
          <w:p>
            <w:pPr>
              <w:spacing w:after="0"/>
            </w:pPr>
            <w:r/>
            <w:r>
              <w:rPr>
                <w:rFonts w:ascii="Aptos" w:hAnsi="Aptos" w:eastAsia="Aptos"/>
                <w:b w:val="0"/>
                <w:sz w:val="16"/>
              </w:rPr>
              <w:t>LLM scoring module; judge calibration report; ablation-ready interface.</w:t>
            </w:r>
          </w:p>
        </w:tc>
      </w:tr>
      <w:tr>
        <w:trPr>
          <w:cantSplit/>
        </w:trPr>
        <w:tc>
          <w:tcPr>
            <w:tcW w:type="dxa" w:w="3312"/>
            <w:vAlign w:val="top"/>
          </w:tcPr>
          <w:p>
            <w:pPr>
              <w:spacing w:after="0"/>
            </w:pPr>
            <w:r/>
            <w:r>
              <w:rPr>
                <w:rFonts w:ascii="Aptos" w:hAnsi="Aptos" w:eastAsia="Aptos"/>
                <w:b w:val="0"/>
                <w:sz w:val="16"/>
              </w:rPr>
              <w:t>M6: Retrospective evaluation</w:t>
            </w:r>
          </w:p>
        </w:tc>
        <w:tc>
          <w:tcPr>
            <w:tcW w:type="dxa" w:w="3312"/>
            <w:vAlign w:val="top"/>
          </w:tcPr>
          <w:p>
            <w:pPr>
              <w:spacing w:after="0"/>
            </w:pPr>
            <w:r/>
            <w:r>
              <w:rPr>
                <w:rFonts w:ascii="Aptos" w:hAnsi="Aptos" w:eastAsia="Aptos"/>
                <w:b w:val="0"/>
                <w:sz w:val="16"/>
              </w:rPr>
              <w:t>Run benchmarks against held-out recipes and baselines; analyze errors by material family and synthesis modality.</w:t>
            </w:r>
          </w:p>
        </w:tc>
        <w:tc>
          <w:tcPr>
            <w:tcW w:type="dxa" w:w="3312"/>
            <w:vAlign w:val="top"/>
          </w:tcPr>
          <w:p>
            <w:pPr>
              <w:spacing w:after="0"/>
            </w:pPr>
            <w:r/>
            <w:r>
              <w:rPr>
                <w:rFonts w:ascii="Aptos" w:hAnsi="Aptos" w:eastAsia="Aptos"/>
                <w:b w:val="0"/>
                <w:sz w:val="16"/>
              </w:rPr>
              <w:t>Benchmark tables; ablations; failure-mode taxonomy.</w:t>
            </w:r>
          </w:p>
        </w:tc>
      </w:tr>
      <w:tr>
        <w:trPr>
          <w:cantSplit/>
        </w:trPr>
        <w:tc>
          <w:tcPr>
            <w:tcW w:type="dxa" w:w="3312"/>
            <w:vAlign w:val="top"/>
          </w:tcPr>
          <w:p>
            <w:pPr>
              <w:spacing w:after="0"/>
            </w:pPr>
            <w:r/>
            <w:r>
              <w:rPr>
                <w:rFonts w:ascii="Aptos" w:hAnsi="Aptos" w:eastAsia="Aptos"/>
                <w:b w:val="0"/>
                <w:sz w:val="16"/>
              </w:rPr>
              <w:t>M7: Prospective validation</w:t>
            </w:r>
          </w:p>
        </w:tc>
        <w:tc>
          <w:tcPr>
            <w:tcW w:type="dxa" w:w="3312"/>
            <w:vAlign w:val="top"/>
          </w:tcPr>
          <w:p>
            <w:pPr>
              <w:spacing w:after="0"/>
            </w:pPr>
            <w:r/>
            <w:r>
              <w:rPr>
                <w:rFonts w:ascii="Aptos" w:hAnsi="Aptos" w:eastAsia="Aptos"/>
                <w:b w:val="0"/>
                <w:sz w:val="16"/>
              </w:rPr>
              <w:t>Select targets, generate routes, execute experiments where feasible, and incorporate outcomes.</w:t>
            </w:r>
          </w:p>
        </w:tc>
        <w:tc>
          <w:tcPr>
            <w:tcW w:type="dxa" w:w="3312"/>
            <w:vAlign w:val="top"/>
          </w:tcPr>
          <w:p>
            <w:pPr>
              <w:spacing w:after="0"/>
            </w:pPr>
            <w:r/>
            <w:r>
              <w:rPr>
                <w:rFonts w:ascii="Aptos" w:hAnsi="Aptos" w:eastAsia="Aptos"/>
                <w:b w:val="0"/>
                <w:sz w:val="16"/>
              </w:rPr>
              <w:t>Prospective synthesis report; updated route-value calibration.</w:t>
            </w:r>
          </w:p>
        </w:tc>
      </w:tr>
      <w:tr>
        <w:trPr>
          <w:cantSplit/>
        </w:trPr>
        <w:tc>
          <w:tcPr>
            <w:tcW w:type="dxa" w:w="3312"/>
            <w:vAlign w:val="top"/>
          </w:tcPr>
          <w:p>
            <w:pPr>
              <w:spacing w:after="0"/>
            </w:pPr>
            <w:r/>
            <w:r>
              <w:rPr>
                <w:rFonts w:ascii="Aptos" w:hAnsi="Aptos" w:eastAsia="Aptos"/>
                <w:b w:val="0"/>
                <w:sz w:val="16"/>
              </w:rPr>
              <w:t>M8: Integration with discovery</w:t>
            </w:r>
          </w:p>
        </w:tc>
        <w:tc>
          <w:tcPr>
            <w:tcW w:type="dxa" w:w="3312"/>
            <w:vAlign w:val="top"/>
          </w:tcPr>
          <w:p>
            <w:pPr>
              <w:spacing w:after="0"/>
            </w:pPr>
            <w:r/>
            <w:r>
              <w:rPr>
                <w:rFonts w:ascii="Aptos" w:hAnsi="Aptos" w:eastAsia="Aptos"/>
                <w:b w:val="0"/>
                <w:sz w:val="16"/>
              </w:rPr>
              <w:t>Connect planner to existing MCTS + MACE + DFT material discovery workflow as a downstream filter or reward term.</w:t>
            </w:r>
          </w:p>
        </w:tc>
        <w:tc>
          <w:tcPr>
            <w:tcW w:type="dxa" w:w="3312"/>
            <w:vAlign w:val="top"/>
          </w:tcPr>
          <w:p>
            <w:pPr>
              <w:spacing w:after="0"/>
            </w:pPr>
            <w:r/>
            <w:r>
              <w:rPr>
                <w:rFonts w:ascii="Aptos" w:hAnsi="Aptos" w:eastAsia="Aptos"/>
                <w:b w:val="0"/>
                <w:sz w:val="16"/>
              </w:rPr>
              <w:t>Synthesizability-aware discovery demonstration.</w:t>
            </w:r>
          </w:p>
        </w:tc>
      </w:tr>
    </w:tbl>
    <w:p>
      <w:pPr>
        <w:pStyle w:val="CaptionSmall"/>
      </w:pPr>
      <w:r>
        <w:t>Table 5. Proposed project milestones.</w:t>
      </w:r>
    </w:p>
    <w:p>
      <w:pPr>
        <w:pStyle w:val="Heading1"/>
      </w:pPr>
      <w:r>
        <w:t>12. Relationship to the Existing Materials Discovery Manuscript</w:t>
      </w:r>
    </w:p>
    <w:p>
      <w:pPr/>
      <w:r>
        <w:t>The existing manuscript uses MCTS to propose novel materials that are stable and possess desired physical properties, with MACE and DFT providing energetic and property validation. The synthesis planner proposed here should be treated as a complementary second module rather than a replacement. The discovery module answers: which materials are worth considering? The synthesis module answers: how might a specified target be experimentally realized?</w:t>
      </w:r>
    </w:p>
    <w:p>
      <w:pPr/>
      <w:r>
        <w:t>The two modules can be connected in two stages. In the first stage, the synthesis planner operates downstream of discovery. A discovered target is passed to the planner, which returns ranked routes and a synthesizability score. Targets with no plausible route can be deprioritized for experimental follow-up. In the second stage, synthesizability can become part of the discovery reward:</w:t>
      </w:r>
    </w:p>
    <w:p>
      <w:pPr>
        <w:pStyle w:val="EquationBlock"/>
      </w:pPr>
      <w:r>
        <w:t>Discovery objective = property_score(T) + stability_score(T) + beta*synthesizability_score(T)</w:t>
      </w:r>
    </w:p>
    <w:p>
      <w:pPr/>
      <w:r>
        <w:t>This staged integration avoids overclaiming. The synthesis-only planner is independently useful and benchmarkable, while the long-term vision is a closed loop in which discovery and synthesis inform one another.</w:t>
      </w:r>
    </w:p>
    <w:p>
      <w:pPr>
        <w:pStyle w:val="Heading1"/>
      </w:pPr>
      <w:r>
        <w:t>13. Risks and Mitigation Strategies</w:t>
      </w:r>
    </w:p>
    <w:tbl>
      <w:tblPr>
        <w:tblStyle w:val="TableGrid"/>
        <w:tblW w:type="auto" w:w="0"/>
        <w:jc w:val="center"/>
        <w:tblLook w:firstColumn="1" w:firstRow="1" w:lastColumn="0" w:lastRow="0" w:noHBand="0" w:noVBand="1" w:val="04A0"/>
      </w:tblPr>
      <w:tblGrid>
        <w:gridCol w:w="3312"/>
        <w:gridCol w:w="3312"/>
        <w:gridCol w:w="3312"/>
      </w:tblGrid>
      <w:tr>
        <w:trPr>
          <w:tblHeader w:val="true"/>
          <w:cantSplit/>
        </w:trPr>
        <w:tc>
          <w:tcPr>
            <w:tcW w:type="dxa" w:w="3312"/>
            <w:shd w:fill="D9EAF7"/>
            <w:vAlign w:val="center"/>
          </w:tcPr>
          <w:p>
            <w:pPr>
              <w:spacing w:after="0"/>
            </w:pPr>
            <w:r/>
            <w:r>
              <w:rPr>
                <w:rFonts w:ascii="Aptos" w:hAnsi="Aptos" w:eastAsia="Aptos"/>
                <w:b/>
                <w:sz w:val="17"/>
              </w:rPr>
              <w:t>Risk</w:t>
            </w:r>
          </w:p>
        </w:tc>
        <w:tc>
          <w:tcPr>
            <w:tcW w:type="dxa" w:w="3312"/>
            <w:shd w:fill="D9EAF7"/>
            <w:vAlign w:val="center"/>
          </w:tcPr>
          <w:p>
            <w:pPr>
              <w:spacing w:after="0"/>
            </w:pPr>
            <w:r/>
            <w:r>
              <w:rPr>
                <w:rFonts w:ascii="Aptos" w:hAnsi="Aptos" w:eastAsia="Aptos"/>
                <w:b/>
                <w:sz w:val="17"/>
              </w:rPr>
              <w:t>Why it matters</w:t>
            </w:r>
          </w:p>
        </w:tc>
        <w:tc>
          <w:tcPr>
            <w:tcW w:type="dxa" w:w="3312"/>
            <w:shd w:fill="D9EAF7"/>
            <w:vAlign w:val="center"/>
          </w:tcPr>
          <w:p>
            <w:pPr>
              <w:spacing w:after="0"/>
            </w:pPr>
            <w:r/>
            <w:r>
              <w:rPr>
                <w:rFonts w:ascii="Aptos" w:hAnsi="Aptos" w:eastAsia="Aptos"/>
                <w:b/>
                <w:sz w:val="17"/>
              </w:rPr>
              <w:t>Mitigation</w:t>
            </w:r>
          </w:p>
        </w:tc>
      </w:tr>
      <w:tr>
        <w:trPr>
          <w:cantSplit/>
        </w:trPr>
        <w:tc>
          <w:tcPr>
            <w:tcW w:type="dxa" w:w="3312"/>
            <w:vAlign w:val="top"/>
          </w:tcPr>
          <w:p>
            <w:pPr>
              <w:spacing w:after="0"/>
            </w:pPr>
            <w:r/>
            <w:r>
              <w:rPr>
                <w:rFonts w:ascii="Aptos" w:hAnsi="Aptos" w:eastAsia="Aptos"/>
                <w:b w:val="0"/>
                <w:sz w:val="16"/>
              </w:rPr>
              <w:t>Synthesis space remains too abstract</w:t>
            </w:r>
          </w:p>
        </w:tc>
        <w:tc>
          <w:tcPr>
            <w:tcW w:type="dxa" w:w="3312"/>
            <w:vAlign w:val="top"/>
          </w:tcPr>
          <w:p>
            <w:pPr>
              <w:spacing w:after="0"/>
            </w:pPr>
            <w:r/>
            <w:r>
              <w:rPr>
                <w:rFonts w:ascii="Aptos" w:hAnsi="Aptos" w:eastAsia="Aptos"/>
                <w:b w:val="0"/>
                <w:sz w:val="16"/>
              </w:rPr>
              <w:t>Unconstrained route generation may become intractable or chemically meaningless.</w:t>
            </w:r>
          </w:p>
        </w:tc>
        <w:tc>
          <w:tcPr>
            <w:tcW w:type="dxa" w:w="3312"/>
            <w:vAlign w:val="top"/>
          </w:tcPr>
          <w:p>
            <w:pPr>
              <w:spacing w:after="0"/>
            </w:pPr>
            <w:r/>
            <w:r>
              <w:rPr>
                <w:rFonts w:ascii="Aptos" w:hAnsi="Aptos" w:eastAsia="Aptos"/>
                <w:b w:val="0"/>
                <w:sz w:val="16"/>
              </w:rPr>
              <w:t>Begin with solid-state powders; use a finite grammar; expand modalities only after benchmark stability.</w:t>
            </w:r>
          </w:p>
        </w:tc>
      </w:tr>
      <w:tr>
        <w:trPr>
          <w:cantSplit/>
        </w:trPr>
        <w:tc>
          <w:tcPr>
            <w:tcW w:type="dxa" w:w="3312"/>
            <w:vAlign w:val="top"/>
          </w:tcPr>
          <w:p>
            <w:pPr>
              <w:spacing w:after="0"/>
            </w:pPr>
            <w:r/>
            <w:r>
              <w:rPr>
                <w:rFonts w:ascii="Aptos" w:hAnsi="Aptos" w:eastAsia="Aptos"/>
                <w:b w:val="0"/>
                <w:sz w:val="16"/>
              </w:rPr>
              <w:t>Literature datasets are biased and noisy</w:t>
            </w:r>
          </w:p>
        </w:tc>
        <w:tc>
          <w:tcPr>
            <w:tcW w:type="dxa" w:w="3312"/>
            <w:vAlign w:val="top"/>
          </w:tcPr>
          <w:p>
            <w:pPr>
              <w:spacing w:after="0"/>
            </w:pPr>
            <w:r/>
            <w:r>
              <w:rPr>
                <w:rFonts w:ascii="Aptos" w:hAnsi="Aptos" w:eastAsia="Aptos"/>
                <w:b w:val="0"/>
                <w:sz w:val="16"/>
              </w:rPr>
              <w:t>Text-mined records may omit details and overrepresent successful recipes.</w:t>
            </w:r>
          </w:p>
        </w:tc>
        <w:tc>
          <w:tcPr>
            <w:tcW w:type="dxa" w:w="3312"/>
            <w:vAlign w:val="top"/>
          </w:tcPr>
          <w:p>
            <w:pPr>
              <w:spacing w:after="0"/>
            </w:pPr>
            <w:r/>
            <w:r>
              <w:rPr>
                <w:rFonts w:ascii="Aptos" w:hAnsi="Aptos" w:eastAsia="Aptos"/>
                <w:b w:val="0"/>
                <w:sz w:val="16"/>
              </w:rPr>
              <w:t>Use hard constraints, uncertainty, expert review, prospective validation, and outcome-labeled data when available.</w:t>
            </w:r>
          </w:p>
        </w:tc>
      </w:tr>
      <w:tr>
        <w:trPr>
          <w:cantSplit/>
        </w:trPr>
        <w:tc>
          <w:tcPr>
            <w:tcW w:type="dxa" w:w="3312"/>
            <w:vAlign w:val="top"/>
          </w:tcPr>
          <w:p>
            <w:pPr>
              <w:spacing w:after="0"/>
            </w:pPr>
            <w:r/>
            <w:r>
              <w:rPr>
                <w:rFonts w:ascii="Aptos" w:hAnsi="Aptos" w:eastAsia="Aptos"/>
                <w:b w:val="0"/>
                <w:sz w:val="16"/>
              </w:rPr>
              <w:t>LLM judge overvalues fluent routes</w:t>
            </w:r>
          </w:p>
        </w:tc>
        <w:tc>
          <w:tcPr>
            <w:tcW w:type="dxa" w:w="3312"/>
            <w:vAlign w:val="top"/>
          </w:tcPr>
          <w:p>
            <w:pPr>
              <w:spacing w:after="0"/>
            </w:pPr>
            <w:r/>
            <w:r>
              <w:rPr>
                <w:rFonts w:ascii="Aptos" w:hAnsi="Aptos" w:eastAsia="Aptos"/>
                <w:b w:val="0"/>
                <w:sz w:val="16"/>
              </w:rPr>
              <w:t>Fluent explanations can mask chemical errors.</w:t>
            </w:r>
          </w:p>
        </w:tc>
        <w:tc>
          <w:tcPr>
            <w:tcW w:type="dxa" w:w="3312"/>
            <w:vAlign w:val="top"/>
          </w:tcPr>
          <w:p>
            <w:pPr>
              <w:spacing w:after="0"/>
            </w:pPr>
            <w:r/>
            <w:r>
              <w:rPr>
                <w:rFonts w:ascii="Aptos" w:hAnsi="Aptos" w:eastAsia="Aptos"/>
                <w:b w:val="0"/>
                <w:sz w:val="16"/>
              </w:rPr>
              <w:t>Require retrieved evidence, structured rubric scores, hard-check gating, calibration, and ablation against non-LLM baselines.</w:t>
            </w:r>
          </w:p>
        </w:tc>
      </w:tr>
      <w:tr>
        <w:trPr>
          <w:cantSplit/>
        </w:trPr>
        <w:tc>
          <w:tcPr>
            <w:tcW w:type="dxa" w:w="3312"/>
            <w:vAlign w:val="top"/>
          </w:tcPr>
          <w:p>
            <w:pPr>
              <w:spacing w:after="0"/>
            </w:pPr>
            <w:r/>
            <w:r>
              <w:rPr>
                <w:rFonts w:ascii="Aptos" w:hAnsi="Aptos" w:eastAsia="Aptos"/>
                <w:b w:val="0"/>
                <w:sz w:val="16"/>
              </w:rPr>
              <w:t>Few negative examples exist</w:t>
            </w:r>
          </w:p>
        </w:tc>
        <w:tc>
          <w:tcPr>
            <w:tcW w:type="dxa" w:w="3312"/>
            <w:vAlign w:val="top"/>
          </w:tcPr>
          <w:p>
            <w:pPr>
              <w:spacing w:after="0"/>
            </w:pPr>
            <w:r/>
            <w:r>
              <w:rPr>
                <w:rFonts w:ascii="Aptos" w:hAnsi="Aptos" w:eastAsia="Aptos"/>
                <w:b w:val="0"/>
                <w:sz w:val="16"/>
              </w:rPr>
              <w:t>Success-only data make it hard to learn failure boundaries.</w:t>
            </w:r>
          </w:p>
        </w:tc>
        <w:tc>
          <w:tcPr>
            <w:tcW w:type="dxa" w:w="3312"/>
            <w:vAlign w:val="top"/>
          </w:tcPr>
          <w:p>
            <w:pPr>
              <w:spacing w:after="0"/>
            </w:pPr>
            <w:r/>
            <w:r>
              <w:rPr>
                <w:rFonts w:ascii="Aptos" w:hAnsi="Aptos" w:eastAsia="Aptos"/>
                <w:b w:val="0"/>
                <w:sz w:val="16"/>
              </w:rPr>
              <w:t>Use A-Lab-style failed outcomes, synthetic contrastive negatives for invalid routes, and prospective failed attempts.</w:t>
            </w:r>
          </w:p>
        </w:tc>
      </w:tr>
      <w:tr>
        <w:trPr>
          <w:cantSplit/>
        </w:trPr>
        <w:tc>
          <w:tcPr>
            <w:tcW w:type="dxa" w:w="3312"/>
            <w:vAlign w:val="top"/>
          </w:tcPr>
          <w:p>
            <w:pPr>
              <w:spacing w:after="0"/>
            </w:pPr>
            <w:r/>
            <w:r>
              <w:rPr>
                <w:rFonts w:ascii="Aptos" w:hAnsi="Aptos" w:eastAsia="Aptos"/>
                <w:b w:val="0"/>
                <w:sz w:val="16"/>
              </w:rPr>
              <w:t>Exact-route metrics are too strict</w:t>
            </w:r>
          </w:p>
        </w:tc>
        <w:tc>
          <w:tcPr>
            <w:tcW w:type="dxa" w:w="3312"/>
            <w:vAlign w:val="top"/>
          </w:tcPr>
          <w:p>
            <w:pPr>
              <w:spacing w:after="0"/>
            </w:pPr>
            <w:r/>
            <w:r>
              <w:rPr>
                <w:rFonts w:ascii="Aptos" w:hAnsi="Aptos" w:eastAsia="Aptos"/>
                <w:b w:val="0"/>
                <w:sz w:val="16"/>
              </w:rPr>
              <w:t>Many valid routes may differ from the held-out literature recipe.</w:t>
            </w:r>
          </w:p>
        </w:tc>
        <w:tc>
          <w:tcPr>
            <w:tcW w:type="dxa" w:w="3312"/>
            <w:vAlign w:val="top"/>
          </w:tcPr>
          <w:p>
            <w:pPr>
              <w:spacing w:after="0"/>
            </w:pPr>
            <w:r/>
            <w:r>
              <w:rPr>
                <w:rFonts w:ascii="Aptos" w:hAnsi="Aptos" w:eastAsia="Aptos"/>
                <w:b w:val="0"/>
                <w:sz w:val="16"/>
              </w:rPr>
              <w:t>Use top-k, precursor class, operation similarity, condition tolerance, expert ratings, and prospective outcomes.</w:t>
            </w:r>
          </w:p>
        </w:tc>
      </w:tr>
      <w:tr>
        <w:trPr>
          <w:cantSplit/>
        </w:trPr>
        <w:tc>
          <w:tcPr>
            <w:tcW w:type="dxa" w:w="3312"/>
            <w:vAlign w:val="top"/>
          </w:tcPr>
          <w:p>
            <w:pPr>
              <w:spacing w:after="0"/>
            </w:pPr>
            <w:r/>
            <w:r>
              <w:rPr>
                <w:rFonts w:ascii="Aptos" w:hAnsi="Aptos" w:eastAsia="Aptos"/>
                <w:b w:val="0"/>
                <w:sz w:val="16"/>
              </w:rPr>
              <w:t>Thermodynamics does not capture kinetics</w:t>
            </w:r>
          </w:p>
        </w:tc>
        <w:tc>
          <w:tcPr>
            <w:tcW w:type="dxa" w:w="3312"/>
            <w:vAlign w:val="top"/>
          </w:tcPr>
          <w:p>
            <w:pPr>
              <w:spacing w:after="0"/>
            </w:pPr>
            <w:r/>
            <w:r>
              <w:rPr>
                <w:rFonts w:ascii="Aptos" w:hAnsi="Aptos" w:eastAsia="Aptos"/>
                <w:b w:val="0"/>
                <w:sz w:val="16"/>
              </w:rPr>
              <w:t>Stable targets can fail due to diffusion, volatility, or metastability.</w:t>
            </w:r>
          </w:p>
        </w:tc>
        <w:tc>
          <w:tcPr>
            <w:tcW w:type="dxa" w:w="3312"/>
            <w:vAlign w:val="top"/>
          </w:tcPr>
          <w:p>
            <w:pPr>
              <w:spacing w:after="0"/>
            </w:pPr>
            <w:r/>
            <w:r>
              <w:rPr>
                <w:rFonts w:ascii="Aptos" w:hAnsi="Aptos" w:eastAsia="Aptos"/>
                <w:b w:val="0"/>
                <w:sz w:val="16"/>
              </w:rPr>
              <w:t>Add kinetic heuristics, regrinding/annealing actions, intermediate-phase analysis, and failed-route learning.</w:t>
            </w:r>
          </w:p>
        </w:tc>
      </w:tr>
      <w:tr>
        <w:trPr>
          <w:cantSplit/>
        </w:trPr>
        <w:tc>
          <w:tcPr>
            <w:tcW w:type="dxa" w:w="3312"/>
            <w:vAlign w:val="top"/>
          </w:tcPr>
          <w:p>
            <w:pPr>
              <w:spacing w:after="0"/>
            </w:pPr>
            <w:r/>
            <w:r>
              <w:rPr>
                <w:rFonts w:ascii="Aptos" w:hAnsi="Aptos" w:eastAsia="Aptos"/>
                <w:b w:val="0"/>
                <w:sz w:val="16"/>
              </w:rPr>
              <w:t>Prospective validation is resource-limited</w:t>
            </w:r>
          </w:p>
        </w:tc>
        <w:tc>
          <w:tcPr>
            <w:tcW w:type="dxa" w:w="3312"/>
            <w:vAlign w:val="top"/>
          </w:tcPr>
          <w:p>
            <w:pPr>
              <w:spacing w:after="0"/>
            </w:pPr>
            <w:r/>
            <w:r>
              <w:rPr>
                <w:rFonts w:ascii="Aptos" w:hAnsi="Aptos" w:eastAsia="Aptos"/>
                <w:b w:val="0"/>
                <w:sz w:val="16"/>
              </w:rPr>
              <w:t>Experimental testing may be slow or expensive.</w:t>
            </w:r>
          </w:p>
        </w:tc>
        <w:tc>
          <w:tcPr>
            <w:tcW w:type="dxa" w:w="3312"/>
            <w:vAlign w:val="top"/>
          </w:tcPr>
          <w:p>
            <w:pPr>
              <w:spacing w:after="0"/>
            </w:pPr>
            <w:r/>
            <w:r>
              <w:rPr>
                <w:rFonts w:ascii="Aptos" w:hAnsi="Aptos" w:eastAsia="Aptos"/>
                <w:b w:val="0"/>
                <w:sz w:val="16"/>
              </w:rPr>
              <w:t>Use a small but diverse target set; prioritize routes with clear success criteria and informative failure modes.</w:t>
            </w:r>
          </w:p>
        </w:tc>
      </w:tr>
    </w:tbl>
    <w:p>
      <w:pPr>
        <w:pStyle w:val="CaptionSmall"/>
      </w:pPr>
      <w:r>
        <w:t>Table 6. Key risks and mitigation strategies.</w:t>
      </w:r>
    </w:p>
    <w:p>
      <w:pPr>
        <w:pStyle w:val="Heading1"/>
      </w:pPr>
      <w:r>
        <w:t>14. Expected Contributions</w:t>
      </w:r>
    </w:p>
    <w:p>
      <w:pPr/>
      <w:r>
        <w:t>The proposed project is expected to contribute:</w:t>
      </w:r>
    </w:p>
    <w:p>
      <w:pPr>
        <w:pStyle w:val="ListBullet"/>
        <w:spacing w:after="60"/>
      </w:pPr>
      <w:r>
        <w:t>A formal target-conditioned synthesis planning problem for inorganic materials.</w:t>
      </w:r>
    </w:p>
    <w:p>
      <w:pPr>
        <w:pStyle w:val="ListBullet"/>
        <w:spacing w:after="60"/>
      </w:pPr>
      <w:r>
        <w:t>A structured synthesis grammar that converts abstract materials synthesis procedures into a searchable action space.</w:t>
      </w:r>
    </w:p>
    <w:p>
      <w:pPr>
        <w:pStyle w:val="ListBullet"/>
        <w:spacing w:after="60"/>
      </w:pPr>
      <w:r>
        <w:t>An MCTS algorithm for constructing ranked inorganic synthesis routes.</w:t>
      </w:r>
    </w:p>
    <w:p>
      <w:pPr>
        <w:pStyle w:val="ListBullet"/>
        <w:spacing w:after="60"/>
      </w:pPr>
      <w:r>
        <w:t>A retrieval-grounded LLM-as-judge framework for scoring route plausibility without treating the LLM as an oracle.</w:t>
      </w:r>
    </w:p>
    <w:p>
      <w:pPr>
        <w:pStyle w:val="ListBullet"/>
        <w:spacing w:after="60"/>
      </w:pPr>
      <w:r>
        <w:t>A normalized dataset and benchmark strategy based on text-mined solid-state and solution-based inorganic synthesis procedures.</w:t>
      </w:r>
    </w:p>
    <w:p>
      <w:pPr>
        <w:pStyle w:val="ListBullet"/>
        <w:spacing w:after="60"/>
      </w:pPr>
      <w:r>
        <w:t>A systematic evaluation framework that includes retrospective recovery, expert plausibility, ablations, and prospective validation.</w:t>
      </w:r>
    </w:p>
    <w:p>
      <w:pPr>
        <w:pStyle w:val="ListBullet"/>
        <w:spacing w:after="60"/>
      </w:pPr>
      <w:r>
        <w:t>A pathway for integrating synthesizability into MCTS-based materials discovery with MACE and DFT validation.</w:t>
      </w:r>
    </w:p>
    <w:p>
      <w:pPr/>
      <w:r>
        <w:t>The most important conceptual contribution is the separation of target-conditioned synthesis planning from materials discovery. This separation turns synthesis into a first-class optimization problem while preserving a clear path toward synthesizability-aware discovery.</w:t>
      </w:r>
    </w:p>
    <w:p>
      <w:pPr>
        <w:pStyle w:val="Heading1"/>
      </w:pPr>
      <w:r>
        <w:t>15. Example Planner Output</w:t>
      </w:r>
    </w:p>
    <w:p>
      <w:pPr/>
      <w:r>
        <w:t>A final route should be returned in a form that is understandable to experimentalists and machine-readable for downstream automation. A representative output format is:</w:t>
      </w:r>
    </w:p>
    <w:p>
      <w:pPr>
        <w:pStyle w:val="EquationBlock"/>
      </w:pPr>
      <w:r>
        <w:t>Target: BaTiO3</w:t>
        <w:br/>
        <w:t>Rank 1 route: solid-state synthesis</w:t>
        <w:br/>
        <w:t>Precursors: BaCO3, TiO2</w:t>
        <w:br/>
        <w:t>Operations: dry precursors; grind stoichiometric mixture; calcine in air; regrind; sinter in air; slow cool</w:t>
        <w:br/>
        <w:t>Conditions: calcination 900-1000 C for 6-12 h; sintering 1100-1250 C for 6-12 h</w:t>
        <w:br/>
        <w:t>Evidence: retrieved analogs for alkaline-earth titanates; carbonate-to-oxide route common</w:t>
        <w:br/>
        <w:t>Scores: stoich high; precursor high; condition high; thermodynamic moderate-high; LLM high</w:t>
        <w:br/>
        <w:t>Failure flags: incomplete carbonate decomposition if calcination too low; Ba volatility at excessive temperature</w:t>
      </w:r>
    </w:p>
    <w:p>
      <w:pPr/>
      <w:r>
        <w:t>The example is intentionally simple. The same output structure should scale to more difficult targets, where multiple route families and uncertainties are reported side by side.</w:t>
      </w:r>
    </w:p>
    <w:p>
      <w:pPr>
        <w:pStyle w:val="Heading1"/>
      </w:pPr>
      <w:r>
        <w:t>References</w:t>
      </w:r>
    </w:p>
    <w:p>
      <w:pPr>
        <w:spacing w:after="80"/>
        <w:ind w:left="360" w:hanging="360"/>
      </w:pPr>
      <w:r>
        <w:t>[1] Segler, M. H. S., Preuss, M., and Waller, M. P. Planning chemical syntheses with deep neural networks and symbolic AI. Nature 555, 604-610 (2018). DOI: 10.1038/nature25978.</w:t>
      </w:r>
    </w:p>
    <w:p>
      <w:pPr>
        <w:spacing w:after="80"/>
        <w:ind w:left="360" w:hanging="360"/>
      </w:pPr>
      <w:r>
        <w:t>[2] Dieb, T. M., Ju, S., Shiomi, J., and Tsuda, K. Monte Carlo tree search for materials design and discovery. MRS Communications 9, 532-536 (2019). DOI: 10.1557/mrc.2019.40.</w:t>
      </w:r>
    </w:p>
    <w:p>
      <w:pPr>
        <w:spacing w:after="80"/>
        <w:ind w:left="360" w:hanging="360"/>
      </w:pPr>
      <w:r>
        <w:t>[3] Kononova, O. et al. Text-mined dataset of inorganic materials synthesis recipes. Scientific Data 6, 203 (2019). DOI: 10.1038/s41597-019-0224-1.</w:t>
      </w:r>
    </w:p>
    <w:p>
      <w:pPr>
        <w:spacing w:after="80"/>
        <w:ind w:left="360" w:hanging="360"/>
      </w:pPr>
      <w:r>
        <w:t>[4] Wang, Z. et al. Dataset of solution-based inorganic materials synthesis procedures extracted from the scientific literature. Scientific Data 9, 231 (2022). DOI: 10.1038/s41597-022-01317-2.</w:t>
      </w:r>
    </w:p>
    <w:p>
      <w:pPr>
        <w:spacing w:after="80"/>
        <w:ind w:left="360" w:hanging="360"/>
      </w:pPr>
      <w:r>
        <w:t>[5] Szymanski, N. J., Rendy, B., Fei, Y. et al. An autonomous laboratory for the accelerated synthesis of inorganic materials. Nature 624, 86-91 (2023). DOI: 10.1038/s41586-023-06734-w.</w:t>
      </w:r>
    </w:p>
    <w:p>
      <w:pPr>
        <w:spacing w:after="80"/>
        <w:ind w:left="360" w:hanging="360"/>
      </w:pPr>
      <w:r>
        <w:t>[6] Batatia, I. et al. A foundation model for atomistic materials chemistry. arXiv:2401.00096 (submitted 2023; revised 2025).</w:t>
      </w:r>
    </w:p>
    <w:p>
      <w:pPr>
        <w:spacing w:after="80"/>
        <w:ind w:left="360" w:hanging="360"/>
      </w:pPr>
      <w:r>
        <w:t>[7] Bran, A. M., Cox, S., Schilter, O. et al. Augmenting large language models with chemistry tools. Nature Machine Intelligence 6, 525-535 (2024). DOI: 10.1038/s42256-024-00832-8.</w:t>
      </w:r>
    </w:p>
    <w:p>
      <w:pPr>
        <w:spacing w:after="80"/>
        <w:ind w:left="360" w:hanging="360"/>
      </w:pPr>
      <w:r>
        <w:t>[8] Noh, H., Na, G. S., Lee, N., and Park, C. MSP-LLM: A unified large language model framework for complete material synthesis planning. arXiv:2602.07543 (2026).</w:t>
      </w:r>
    </w:p>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F7F7F"/>
        <w:sz w:val="16"/>
      </w:rPr>
      <w:t>MCTS Materials Synthesis Planning Project Proposal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eastAsia="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eastAsia="Aptos"/>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w:hAnsi="Aptos" w:eastAsia="Aptos"/>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Theme="majorHAnsi" w:eastAsiaTheme="majorEastAsia" w:hAnsiTheme="majorHAnsi" w:cstheme="majorBidi" w:ascii="Aptos Display" w:hAnsi="Aptos Display" w:eastAsia="Aptos Display"/>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Block">
    <w:name w:val="Equation Block"/>
    <w:basedOn w:val="Normal"/>
    <w:pPr>
      <w:spacing w:before="60" w:after="140"/>
      <w:ind w:left="360" w:right="216"/>
    </w:pPr>
    <w:rPr>
      <w:rFonts w:ascii="Aptos Mono" w:hAnsi="Aptos Mono" w:eastAsia="Aptos Mono"/>
      <w:sz w:val="19"/>
    </w:rPr>
  </w:style>
  <w:style w:type="paragraph" w:customStyle="1" w:styleId="CaptionSmall">
    <w:name w:val="Caption Small"/>
    <w:basedOn w:val="Normal"/>
    <w:pPr>
      <w:spacing w:after="160"/>
    </w:pPr>
    <w:rPr>
      <w: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