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Calibri" w:cs="Calibri" w:eastAsia="Calibri" w:hAnsi="Calibri"/>
          <w:b/>
          <w:bCs/>
          <w:color w:val="1A252F"/>
          <w:sz w:val="36"/>
          <w:szCs w:val="36"/>
        </w:rPr>
        <w:t xml:space="preserve">Control Group Selection Affects Biomarker Discovery in Colorectal Cancer:</w:t>
      </w:r>
    </w:p>
    <w:p>
      <w:pPr>
        <w:spacing w:after="320" w:before="0"/>
        <w:jc w:val="center"/>
      </w:pPr>
      <w:r>
        <w:rPr>
          <w:rFonts w:ascii="Calibri" w:cs="Calibri" w:eastAsia="Calibri" w:hAnsi="Calibri"/>
          <w:b/>
          <w:bCs/>
          <w:color w:val="1A252F"/>
          <w:sz w:val="36"/>
          <w:szCs w:val="36"/>
        </w:rPr>
        <w:t xml:space="preserve">A Comparative Analysis of TCGA COAD Tumor Against NAT and GTEx Normal Colon Tissues</w:t>
      </w:r>
    </w:p>
    <w:p>
      <w:pPr>
        <w:spacing w:after="80" w:before="0"/>
        <w:jc w:val="center"/>
      </w:pPr>
      <w:r>
        <w:rPr>
          <w:rFonts w:ascii="Calibri" w:cs="Calibri" w:eastAsia="Calibri" w:hAnsi="Calibri"/>
          <w:color w:val="555555"/>
          <w:sz w:val="24"/>
          <w:szCs w:val="24"/>
        </w:rPr>
        <w:t xml:space="preserve">Author: [Author Name]</w:t>
      </w:r>
    </w:p>
    <w:p>
      <w:pPr>
        <w:spacing w:after="80" w:before="0"/>
        <w:jc w:val="center"/>
      </w:pPr>
      <w:r>
        <w:rPr>
          <w:rFonts w:ascii="Calibri" w:cs="Calibri" w:eastAsia="Calibri" w:hAnsi="Calibri"/>
          <w:color w:val="555555"/>
          <w:sz w:val="24"/>
          <w:szCs w:val="24"/>
        </w:rPr>
        <w:t xml:space="preserve">Valdosta State University</w:t>
      </w:r>
    </w:p>
    <w:p>
      <w:pPr>
        <w:spacing w:after="80" w:before="0"/>
        <w:jc w:val="center"/>
      </w:pPr>
      <w:r>
        <w:rPr>
          <w:rFonts w:ascii="Calibri" w:cs="Calibri" w:eastAsia="Calibri" w:hAnsi="Calibri"/>
          <w:color w:val="555555"/>
          <w:sz w:val="24"/>
          <w:szCs w:val="24"/>
        </w:rPr>
        <w:t xml:space="preserve">June 2026</w:t>
      </w:r>
    </w:p>
    <w:p>
      <w:pPr>
        <w:pBdr>
          <w:bottom w:val="single" w:color="CCCCCC" w:sz="4" w:space="1"/>
        </w:pBdr>
        <w:spacing w:after="120" w:before="120"/>
      </w:pPr>
    </w:p>
    <w:p>
      <w:pPr>
        <w:pStyle w:val="Heading1"/>
        <w:pBdr>
          <w:bottom w:val="single" w:color="2980B9" w:sz="6" w:space="4"/>
        </w:pBdr>
        <w:spacing w:after="120" w:before="320"/>
      </w:pPr>
      <w:r>
        <w:rPr>
          <w:rFonts w:ascii="Calibri" w:cs="Calibri" w:eastAsia="Calibri" w:hAnsi="Calibri"/>
          <w:b/>
          <w:bCs/>
          <w:color w:val="1A252F"/>
          <w:sz w:val="28"/>
          <w:szCs w:val="28"/>
        </w:rPr>
        <w:t xml:space="preserve">Abstract</w:t>
      </w:r>
    </w:p>
    <w:p>
      <w:pPr>
        <w:spacing w:after="100" w:before="100" w:line="276" w:lineRule="auto"/>
        <w:ind w:left="720"/>
        <w:jc w:val="both"/>
      </w:pPr>
      <w:r>
        <w:rPr>
          <w:rFonts w:ascii="Calibri" w:cs="Calibri" w:eastAsia="Calibri" w:hAnsi="Calibri"/>
          <w:b w:val="false"/>
          <w:bCs w:val="false"/>
          <w:color w:val="000000"/>
          <w:sz w:val="22"/>
          <w:szCs w:val="22"/>
        </w:rPr>
        <w:t xml:space="preserve">Identifying robust biomarkers for colorectal cancer (CRC) from transcriptomic data requires a well-defined normal control group, yet the choice between tumor-adjacent normal tissue (NAT) and healthy tissue from independent cohorts such as GTEx remains underexplored. In this study, we systematically compared differentially expressed genes (DEGs) identified from TCGA COAD tumor samples (n = 288) against four distinct control groups: TCGA NAT (n = 41), GTEx colon all (n = 308), GTEx Colon Transverse (n = 167), and GTEx Colon Sigmoid (n = 141). Batch effects between TCGA and GTEx cohorts were corrected using neuroCombat. DEG analysis was performed using Welch’s t-test with Benjamini–Hochberg correction (|log₂FC| &gt; 1, FDR &lt; 0.05). Machine learning classifiers — LASSO logistic regression and Random Forest — were applied to each comparison, achieving perfect cross-validated AUC (1.000) across all four settings. A four-step biomarker stability analysis identified six candidate genes present in three or more comparisons; after removing two artifacts driven by batch-effect residuals (ENSG00000279473) and pseudogene annotation (HMGN1P36), four stable, biologically validated biomarkers were confirmed: </w:t>
      </w:r>
      <w:r>
        <w:rPr>
          <w:rFonts w:ascii="Calibri" w:cs="Calibri" w:eastAsia="Calibri" w:hAnsi="Calibri"/>
          <w:b/>
          <w:bCs/>
          <w:color w:val="2980B9"/>
          <w:sz w:val="22"/>
          <w:szCs w:val="22"/>
        </w:rPr>
        <w:t xml:space="preserve">CDH3</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ETV4</w:t>
      </w:r>
      <w:r>
        <w:rPr>
          <w:rFonts w:ascii="Calibri" w:cs="Calibri" w:eastAsia="Calibri" w:hAnsi="Calibri"/>
          <w:b w:val="false"/>
          <w:bCs w:val="false"/>
          <w:color w:val="000000"/>
          <w:sz w:val="22"/>
          <w:szCs w:val="22"/>
        </w:rPr>
        <w:t xml:space="preserve">, and </w:t>
      </w:r>
      <w:r>
        <w:rPr>
          <w:rFonts w:ascii="Calibri" w:cs="Calibri" w:eastAsia="Calibri" w:hAnsi="Calibri"/>
          <w:b/>
          <w:bCs/>
          <w:color w:val="2980B9"/>
          <w:sz w:val="22"/>
          <w:szCs w:val="22"/>
        </w:rPr>
        <w:t xml:space="preserve">KRT80</w:t>
      </w:r>
      <w:r>
        <w:rPr>
          <w:rFonts w:ascii="Calibri" w:cs="Calibri" w:eastAsia="Calibri" w:hAnsi="Calibri"/>
          <w:b w:val="false"/>
          <w:bCs w:val="false"/>
          <w:color w:val="000000"/>
          <w:sz w:val="22"/>
          <w:szCs w:val="22"/>
        </w:rPr>
        <w:t xml:space="preserve">. These genes are overexpressed in tumor tissue relative to all control groups, enriched in epithelial differentiation pathways, and each independently validated in prior CRC literature. Critically, Venn diagram analysis demonstrated that NAT-based DEGs overlap only partially with GTEx-based DEGs, indicating that control group choice substantially shapes the biomarker landscape. This study provides a methodological framework for evaluating biomarker stability across normal reference definitions and independently replicates a previously published three-gene CRC classification panel (</w:t>
      </w:r>
      <w:r>
        <w:rPr>
          <w:rFonts w:ascii="Calibri" w:cs="Calibri" w:eastAsia="Calibri" w:hAnsi="Calibri"/>
          <w:b/>
          <w:bCs/>
          <w:color w:val="2980B9"/>
          <w:sz w:val="22"/>
          <w:szCs w:val="22"/>
        </w:rPr>
        <w:t xml:space="preserve">CDH3</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ETV4</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w:t>
      </w:r>
    </w:p>
    <w:p>
      <w:pPr>
        <w:spacing w:after="160" w:before="80" w:line="276" w:lineRule="auto"/>
        <w:ind w:left="720"/>
        <w:jc w:val="both"/>
      </w:pPr>
      <w:r>
        <w:rPr>
          <w:rFonts w:ascii="Calibri" w:cs="Calibri" w:eastAsia="Calibri" w:hAnsi="Calibri"/>
          <w:b/>
          <w:bCs/>
          <w:color w:val="000000"/>
          <w:sz w:val="22"/>
          <w:szCs w:val="22"/>
        </w:rPr>
        <w:t xml:space="preserve">Keywords:</w:t>
      </w:r>
      <w:r>
        <w:rPr>
          <w:rFonts w:ascii="Calibri" w:cs="Calibri" w:eastAsia="Calibri" w:hAnsi="Calibri"/>
          <w:b w:val="false"/>
          <w:bCs w:val="false"/>
          <w:color w:val="000000"/>
          <w:sz w:val="22"/>
          <w:szCs w:val="22"/>
        </w:rPr>
        <w:t xml:space="preserve"> colorectal cancer, TCGA COAD, GTEx, differential expression, biomarker stability, LASSO, Random Forest, </w:t>
      </w:r>
      <w:r>
        <w:rPr>
          <w:rFonts w:ascii="Calibri" w:cs="Calibri" w:eastAsia="Calibri" w:hAnsi="Calibri"/>
          <w:b/>
          <w:bCs/>
          <w:color w:val="2980B9"/>
          <w:sz w:val="22"/>
          <w:szCs w:val="22"/>
        </w:rPr>
        <w:t xml:space="preserve">CDH3</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ETV4</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KRT80</w:t>
      </w:r>
    </w:p>
    <w:p>
      <w:pPr>
        <w:pStyle w:val="Heading1"/>
        <w:pBdr>
          <w:bottom w:val="single" w:color="2980B9" w:sz="6" w:space="4"/>
        </w:pBdr>
        <w:spacing w:after="120" w:before="320"/>
      </w:pPr>
      <w:r>
        <w:rPr>
          <w:rFonts w:ascii="Calibri" w:cs="Calibri" w:eastAsia="Calibri" w:hAnsi="Calibri"/>
          <w:b/>
          <w:bCs/>
          <w:color w:val="1A252F"/>
          <w:sz w:val="28"/>
          <w:szCs w:val="28"/>
        </w:rPr>
        <w:t xml:space="preserve">1. Introduction</w:t>
      </w:r>
    </w:p>
    <w:p>
      <w:pPr>
        <w:spacing w:after="80" w:before="80" w:line="276" w:lineRule="auto"/>
        <w:jc w:val="both"/>
      </w:pPr>
      <w:r>
        <w:rPr>
          <w:rFonts w:ascii="Calibri" w:cs="Calibri" w:eastAsia="Calibri" w:hAnsi="Calibri"/>
          <w:b w:val="false"/>
          <w:bCs w:val="false"/>
          <w:color w:val="000000"/>
          <w:sz w:val="22"/>
          <w:szCs w:val="22"/>
        </w:rPr>
        <w:t xml:space="preserve">Colorectal cancer (CRC) is the third most commonly diagnosed cancer and the second leading cause of cancer-related mortality worldwide, with approximately 1.9 million new cases and 935,000 deaths recorded in 2020 [1]. Early detection and precise molecular stratification remain critical unmet needs, as five-year survival rates drop from over 90% for localized disease to below 15% for distant metastatic CRC [2].</w:t>
      </w:r>
    </w:p>
    <w:p>
      <w:pPr>
        <w:spacing w:after="80" w:before="80" w:line="276" w:lineRule="auto"/>
        <w:jc w:val="both"/>
      </w:pPr>
      <w:r>
        <w:rPr>
          <w:rFonts w:ascii="Calibri" w:cs="Calibri" w:eastAsia="Calibri" w:hAnsi="Calibri"/>
          <w:b w:val="false"/>
          <w:bCs w:val="false"/>
          <w:color w:val="000000"/>
          <w:sz w:val="22"/>
          <w:szCs w:val="22"/>
        </w:rPr>
        <w:t xml:space="preserve">Transcriptomic profiling through RNA sequencing has become a cornerstone of cancer biomarker discovery. Public repositories such as The Cancer Genome Atlas (TCGA) and the Genotype-Tissue Expression (GTEx) project provide large-scale, multi-institutional gene expression datasets that enable powered statistical comparisons across thousands of samples. However, a fundamental methodological question persists: which “normal” tissue should serve as the reference control when identifying cancer-associated differential expression?</w:t>
      </w:r>
    </w:p>
    <w:p>
      <w:pPr>
        <w:spacing w:after="80" w:before="80" w:line="276" w:lineRule="auto"/>
        <w:jc w:val="both"/>
      </w:pPr>
      <w:r>
        <w:rPr>
          <w:rFonts w:ascii="Calibri" w:cs="Calibri" w:eastAsia="Calibri" w:hAnsi="Calibri"/>
          <w:b w:val="false"/>
          <w:bCs w:val="false"/>
          <w:color w:val="000000"/>
          <w:sz w:val="22"/>
          <w:szCs w:val="22"/>
        </w:rPr>
        <w:t xml:space="preserve">Two reference choices are commonly employed. The first is </w:t>
      </w:r>
      <w:r>
        <w:rPr>
          <w:rFonts w:ascii="Calibri" w:cs="Calibri" w:eastAsia="Calibri" w:hAnsi="Calibri"/>
          <w:b/>
          <w:bCs/>
          <w:color w:val="000000"/>
          <w:sz w:val="22"/>
          <w:szCs w:val="22"/>
        </w:rPr>
        <w:t xml:space="preserve">tumor-adjacent normal tissue (NAT)</w:t>
      </w:r>
      <w:r>
        <w:rPr>
          <w:rFonts w:ascii="Calibri" w:cs="Calibri" w:eastAsia="Calibri" w:hAnsi="Calibri"/>
          <w:b w:val="false"/>
          <w:bCs w:val="false"/>
          <w:color w:val="000000"/>
          <w:sz w:val="22"/>
          <w:szCs w:val="22"/>
        </w:rPr>
        <w:t xml:space="preserve">, which consists of non-cancerous tissue collected from the same patient and sequencing run as the tumor. NAT is biologically proximal to the tumor microenvironment and shares the same technical processing pipeline, minimizing batch effects. However, mounting evidence suggests that NAT is not truly normal — it exhibits intermediate expression profiles between healthy and cancerous tissue, particularly in the colon, and may carry field cancerization effects [3, 4]. The second choice is </w:t>
      </w:r>
      <w:r>
        <w:rPr>
          <w:rFonts w:ascii="Calibri" w:cs="Calibri" w:eastAsia="Calibri" w:hAnsi="Calibri"/>
          <w:b/>
          <w:bCs/>
          <w:color w:val="000000"/>
          <w:sz w:val="22"/>
          <w:szCs w:val="22"/>
        </w:rPr>
        <w:t xml:space="preserve">healthy tissue from independent cohorts</w:t>
      </w:r>
      <w:r>
        <w:rPr>
          <w:rFonts w:ascii="Calibri" w:cs="Calibri" w:eastAsia="Calibri" w:hAnsi="Calibri"/>
          <w:b w:val="false"/>
          <w:bCs w:val="false"/>
          <w:color w:val="000000"/>
          <w:sz w:val="22"/>
          <w:szCs w:val="22"/>
        </w:rPr>
        <w:t xml:space="preserve"> such as GTEx, which represents true physiological baseline expression but introduces cross-cohort batch effects from differences in tissue procurement, RNA extraction, and sequencing protocols.</w:t>
      </w:r>
    </w:p>
    <w:p>
      <w:pPr>
        <w:spacing w:after="80" w:before="80" w:line="276" w:lineRule="auto"/>
        <w:jc w:val="both"/>
      </w:pPr>
      <w:r>
        <w:rPr>
          <w:rFonts w:ascii="Calibri" w:cs="Calibri" w:eastAsia="Calibri" w:hAnsi="Calibri"/>
          <w:b w:val="false"/>
          <w:bCs w:val="false"/>
          <w:color w:val="000000"/>
          <w:sz w:val="22"/>
          <w:szCs w:val="22"/>
        </w:rPr>
        <w:t xml:space="preserve">Prior studies in glioma, breast, and lung cancers have demonstrated that using GTEx as a reference captures a broader set of cancer-associated DEGs compared to NAT, with less than 60% overlap between the two gene lists [3]. For colon adenocarcinoma (COAD), where NAT exhibits pronounced transcriptomic similarity to tumor relative to other cancer types, this discrepancy is expected to be especially pronounced.</w:t>
      </w:r>
    </w:p>
    <w:p>
      <w:pPr>
        <w:spacing w:after="80" w:before="80" w:line="276" w:lineRule="auto"/>
        <w:jc w:val="both"/>
      </w:pPr>
      <w:r>
        <w:rPr>
          <w:rFonts w:ascii="Calibri" w:cs="Calibri" w:eastAsia="Calibri" w:hAnsi="Calibri"/>
          <w:b w:val="false"/>
          <w:bCs w:val="false"/>
          <w:color w:val="000000"/>
          <w:sz w:val="22"/>
          <w:szCs w:val="22"/>
        </w:rPr>
        <w:t xml:space="preserve">In this study, we addressed the following research question: </w:t>
      </w:r>
      <w:r>
        <w:rPr>
          <w:rFonts w:ascii="Calibri" w:cs="Calibri" w:eastAsia="Calibri" w:hAnsi="Calibri"/>
          <w:b/>
          <w:bCs/>
          <w:color w:val="000000"/>
          <w:sz w:val="22"/>
          <w:szCs w:val="22"/>
        </w:rPr>
        <w:t xml:space="preserve">Does the choice of normal control group — NAT versus different GTEx colon tissue subtypes — substantively alter the set of DEGs and downstream biomarker candidates identified for TCGA COAD?</w:t>
      </w:r>
      <w:r>
        <w:rPr>
          <w:rFonts w:ascii="Calibri" w:cs="Calibri" w:eastAsia="Calibri" w:hAnsi="Calibri"/>
          <w:b w:val="false"/>
          <w:bCs w:val="false"/>
          <w:color w:val="000000"/>
          <w:sz w:val="22"/>
          <w:szCs w:val="22"/>
        </w:rPr>
        <w:t xml:space="preserve"> We further assessed whether stable biomarkers consistent across multiple control definitions could be identified and biologically validated, and whether such biomarkers are corroborated by independent prior literature.</w:t>
      </w:r>
    </w:p>
    <w:p>
      <w:pPr>
        <w:pStyle w:val="Heading1"/>
        <w:pBdr>
          <w:bottom w:val="single" w:color="2980B9" w:sz="6" w:space="4"/>
        </w:pBdr>
        <w:spacing w:after="120" w:before="320"/>
      </w:pPr>
      <w:r>
        <w:rPr>
          <w:rFonts w:ascii="Calibri" w:cs="Calibri" w:eastAsia="Calibri" w:hAnsi="Calibri"/>
          <w:b/>
          <w:bCs/>
          <w:color w:val="1A252F"/>
          <w:sz w:val="28"/>
          <w:szCs w:val="28"/>
        </w:rPr>
        <w:t xml:space="preserve">2. Methods</w:t>
      </w:r>
    </w:p>
    <w:p>
      <w:pPr>
        <w:pStyle w:val="Heading2"/>
        <w:spacing w:after="80" w:before="240"/>
      </w:pPr>
      <w:r>
        <w:rPr>
          <w:rFonts w:ascii="Calibri" w:cs="Calibri" w:eastAsia="Calibri" w:hAnsi="Calibri"/>
          <w:b/>
          <w:bCs/>
          <w:color w:val="2C3E50"/>
          <w:sz w:val="24"/>
          <w:szCs w:val="24"/>
        </w:rPr>
        <w:t xml:space="preserve">2.1 Data Acquisition</w:t>
      </w:r>
    </w:p>
    <w:p>
      <w:pPr>
        <w:spacing w:after="80" w:before="80" w:line="276" w:lineRule="auto"/>
        <w:jc w:val="both"/>
      </w:pPr>
      <w:r>
        <w:rPr>
          <w:rFonts w:ascii="Calibri" w:cs="Calibri" w:eastAsia="Calibri" w:hAnsi="Calibri"/>
          <w:b w:val="false"/>
          <w:bCs w:val="false"/>
          <w:color w:val="000000"/>
          <w:sz w:val="22"/>
          <w:szCs w:val="22"/>
        </w:rPr>
        <w:t xml:space="preserve">Gene expression data were obtained from a harmonized TCGA–GTEx dataset available through the UCSC Xena platform, containing RSEM-normalized log₂(TPM + 0.001) values for 60,498 genes across 19,131 samples. COAD-relevant samples were selected using curated sample ID files: TCGA COAD Tumor (n = 288, suffix -01), TCGA COAD NAT (n = 41, suffix -11), GTEx Colon Transverse (n = 167), and GTEx Colon Sigmoid (n = 141). Sample group labels were assigned based on TCGA barcode suffixes and GTEx tissue metadata.</w:t>
      </w:r>
    </w:p>
    <w:p>
      <w:pPr>
        <w:pStyle w:val="Heading2"/>
        <w:spacing w:after="80" w:before="240"/>
      </w:pPr>
      <w:r>
        <w:rPr>
          <w:rFonts w:ascii="Calibri" w:cs="Calibri" w:eastAsia="Calibri" w:hAnsi="Calibri"/>
          <w:b/>
          <w:bCs/>
          <w:color w:val="2C3E50"/>
          <w:sz w:val="24"/>
          <w:szCs w:val="24"/>
        </w:rPr>
        <w:t xml:space="preserve">2.2 Batch Effect Correction</w:t>
      </w:r>
    </w:p>
    <w:p>
      <w:pPr>
        <w:spacing w:after="80" w:before="80" w:line="276" w:lineRule="auto"/>
        <w:jc w:val="both"/>
      </w:pPr>
      <w:r>
        <w:rPr>
          <w:rFonts w:ascii="Calibri" w:cs="Calibri" w:eastAsia="Calibri" w:hAnsi="Calibri"/>
          <w:b w:val="false"/>
          <w:bCs w:val="false"/>
          <w:color w:val="000000"/>
          <w:sz w:val="22"/>
          <w:szCs w:val="22"/>
        </w:rPr>
        <w:t xml:space="preserve">Prior to cross-cohort comparisons, systematic technical differences between TCGA and GTEx were visualized using principal component analysis (PCA). Batch effects were corrected using neuroCombat [5], treating cohort origin (TCGA vs. GTEx) as the batch variable with no biological covariates specified. Correction was applied to the subset of NAT and GTEx samples (n = 349). PCA was repeated after correction to confirm successful harmonization (Figure QC-1, QC-2).</w:t>
      </w:r>
    </w:p>
    <w:p>
      <w:pPr>
        <w:spacing w:after="80" w:before="80" w:line="276" w:lineRule="auto"/>
        <w:jc w:val="both"/>
      </w:pPr>
      <w:r>
        <w:rPr>
          <w:rFonts w:ascii="Calibri" w:cs="Calibri" w:eastAsia="Calibri" w:hAnsi="Calibri"/>
          <w:b w:val="false"/>
          <w:bCs w:val="false"/>
          <w:color w:val="000000"/>
          <w:sz w:val="22"/>
          <w:szCs w:val="22"/>
        </w:rPr>
        <w:t xml:space="preserve">Tumor samples were not included in the ComBat correction, as is methodologically appropriate when the goal is to compare tumor against a harmonized normal baseline. ComBat-corrected GTEx samples were subsequently merged with original tumor samples for GTEx-based comparisons.</w:t>
      </w:r>
    </w:p>
    <w:p>
      <w:pPr>
        <w:pStyle w:val="Heading2"/>
        <w:spacing w:after="80" w:before="240"/>
      </w:pPr>
      <w:r>
        <w:rPr>
          <w:rFonts w:ascii="Calibri" w:cs="Calibri" w:eastAsia="Calibri" w:hAnsi="Calibri"/>
          <w:b/>
          <w:bCs/>
          <w:color w:val="2C3E50"/>
          <w:sz w:val="24"/>
          <w:szCs w:val="24"/>
        </w:rPr>
        <w:t xml:space="preserve">2.3 Differential Expression Analysis</w:t>
      </w:r>
    </w:p>
    <w:p>
      <w:pPr>
        <w:spacing w:after="100" w:before="80" w:line="276" w:lineRule="auto"/>
        <w:jc w:val="both"/>
      </w:pPr>
      <w:r>
        <w:rPr>
          <w:rFonts w:ascii="Calibri" w:cs="Calibri" w:eastAsia="Calibri" w:hAnsi="Calibri"/>
          <w:b w:val="false"/>
          <w:bCs w:val="false"/>
          <w:i w:val="false"/>
          <w:iCs w:val="false"/>
          <w:color w:val="000000"/>
          <w:sz w:val="22"/>
          <w:szCs w:val="22"/>
        </w:rPr>
        <w:t xml:space="preserve">Four pairwise DEG analyses were performed:</w:t>
      </w:r>
    </w:p>
    <w:p>
      <w:pPr>
        <w:spacing w:after="0" w:before="80"/>
      </w:pP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800"/>
        <w:gridCol w:w="2160"/>
      </w:tblGrid>
      <w:tr>
        <w:trPr>
          <w:tblHeader/>
        </w:trPr>
        <w:tc>
          <w:tcPr>
            <w:tcW w:type="dxa" w:w="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Comparison</w:t>
            </w:r>
          </w:p>
        </w:tc>
        <w:tc>
          <w:tcPr>
            <w:tcW w:type="dxa" w:w="2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Tumor</w:t>
            </w:r>
          </w:p>
        </w:tc>
        <w:tc>
          <w:tcPr>
            <w:tcW w:type="dxa" w:w="2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Control</w:t>
            </w:r>
          </w:p>
        </w:tc>
        <w:tc>
          <w:tcPr>
            <w:tcW w:type="dxa" w:w="216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Expression Data</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1</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TCGA COAD Tumor (n=288)</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TCGA NAT (n=41)</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Original TPM</w:t>
            </w:r>
          </w:p>
        </w:tc>
      </w:tr>
      <w:tr>
        <w:tc>
          <w:tcPr>
            <w:tcW w:type="dxa" w:w="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2</w:t>
            </w:r>
          </w:p>
        </w:tc>
        <w:tc>
          <w:tcPr>
            <w:tcW w:type="dxa" w:w="25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TCGA COAD Tumor (n=288)</w:t>
            </w:r>
          </w:p>
        </w:tc>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GTEx All (n=308)</w:t>
            </w:r>
          </w:p>
        </w:tc>
        <w:tc>
          <w:tcPr>
            <w:tcW w:type="dxa" w:w="21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ComBat-corrected</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TCGA COAD Tumor (n=288)</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GTEx Colon Transverse (n=167)</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ComBat-corrected</w:t>
            </w:r>
          </w:p>
        </w:tc>
      </w:tr>
      <w:tr>
        <w:tc>
          <w:tcPr>
            <w:tcW w:type="dxa" w:w="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4</w:t>
            </w:r>
          </w:p>
        </w:tc>
        <w:tc>
          <w:tcPr>
            <w:tcW w:type="dxa" w:w="25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TCGA COAD Tumor (n=288)</w:t>
            </w:r>
          </w:p>
        </w:tc>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GTEx Colon Sigmoid (n=141)</w:t>
            </w:r>
          </w:p>
        </w:tc>
        <w:tc>
          <w:tcPr>
            <w:tcW w:type="dxa" w:w="21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ComBat-corrected</w:t>
            </w:r>
          </w:p>
        </w:tc>
      </w:tr>
    </w:tbl>
    <w:p>
      <w:pPr>
        <w:spacing w:after="0" w:before="120"/>
      </w:pPr>
    </w:p>
    <w:p>
      <w:pPr>
        <w:spacing w:after="80" w:before="80" w:line="276" w:lineRule="auto"/>
        <w:jc w:val="both"/>
      </w:pPr>
      <w:r>
        <w:rPr>
          <w:rFonts w:ascii="Calibri" w:cs="Calibri" w:eastAsia="Calibri" w:hAnsi="Calibri"/>
          <w:b w:val="false"/>
          <w:bCs w:val="false"/>
          <w:color w:val="000000"/>
          <w:sz w:val="22"/>
          <w:szCs w:val="22"/>
        </w:rPr>
        <w:t xml:space="preserve">For each comparison, Welch’s two-sample t-test (unequal variances) was applied gene-wise. Log₂ fold change (log₂FC) was computed as the difference of group means in log₂ space. Multiple testing was corrected using the Benjamini–Hochberg (BH) procedure [20]. Genes with |log₂FC| &gt; 1 and FDR-adjusted p-value &lt; 0.05 were designated as significant DEGs. Volcano plots were generated for each comparison.</w:t>
      </w:r>
    </w:p>
    <w:p>
      <w:pPr>
        <w:pStyle w:val="Heading2"/>
        <w:spacing w:after="80" w:before="240"/>
      </w:pPr>
      <w:r>
        <w:rPr>
          <w:rFonts w:ascii="Calibri" w:cs="Calibri" w:eastAsia="Calibri" w:hAnsi="Calibri"/>
          <w:b/>
          <w:bCs/>
          <w:color w:val="2C3E50"/>
          <w:sz w:val="24"/>
          <w:szCs w:val="24"/>
        </w:rPr>
        <w:t xml:space="preserve">2.4 Machine Learning Classification</w:t>
      </w:r>
    </w:p>
    <w:p>
      <w:pPr>
        <w:spacing w:after="80" w:before="80" w:line="276" w:lineRule="auto"/>
        <w:jc w:val="both"/>
      </w:pPr>
      <w:r>
        <w:rPr>
          <w:rFonts w:ascii="Calibri" w:cs="Calibri" w:eastAsia="Calibri" w:hAnsi="Calibri"/>
          <w:b w:val="false"/>
          <w:bCs w:val="false"/>
          <w:color w:val="000000"/>
          <w:sz w:val="22"/>
          <w:szCs w:val="22"/>
        </w:rPr>
        <w:t xml:space="preserve">To evaluate the discriminative capacity of DEG-derived gene sets, a machine learning pipeline was applied to each comparison:</w:t>
      </w:r>
    </w:p>
    <w:p>
      <w:pPr>
        <w:spacing w:after="40" w:before="60" w:line="276" w:lineRule="auto"/>
        <w:jc w:val="both"/>
      </w:pPr>
      <w:r>
        <w:rPr>
          <w:rFonts w:ascii="Calibri" w:cs="Calibri" w:eastAsia="Calibri" w:hAnsi="Calibri"/>
          <w:b/>
          <w:bCs/>
          <w:color w:val="000000"/>
          <w:sz w:val="22"/>
          <w:szCs w:val="22"/>
        </w:rPr>
        <w:t xml:space="preserve">Feature selection:</w:t>
      </w:r>
      <w:r>
        <w:rPr>
          <w:rFonts w:ascii="Calibri" w:cs="Calibri" w:eastAsia="Calibri" w:hAnsi="Calibri"/>
          <w:b w:val="false"/>
          <w:bCs w:val="false"/>
          <w:color w:val="000000"/>
          <w:sz w:val="22"/>
          <w:szCs w:val="22"/>
        </w:rPr>
        <w:t xml:space="preserve"> The top 500 DEGs ranked by adjusted p-value were selected as the feature pool.</w:t>
      </w:r>
    </w:p>
    <w:p>
      <w:pPr>
        <w:spacing w:after="40" w:before="40" w:line="276" w:lineRule="auto"/>
        <w:jc w:val="both"/>
      </w:pPr>
      <w:r>
        <w:rPr>
          <w:rFonts w:ascii="Calibri" w:cs="Calibri" w:eastAsia="Calibri" w:hAnsi="Calibri"/>
          <w:b/>
          <w:bCs/>
          <w:color w:val="000000"/>
          <w:sz w:val="22"/>
          <w:szCs w:val="22"/>
        </w:rPr>
        <w:t xml:space="preserve">LASSO logistic regression (classification mode):</w:t>
      </w:r>
      <w:r>
        <w:rPr>
          <w:rFonts w:ascii="Calibri" w:cs="Calibri" w:eastAsia="Calibri" w:hAnsi="Calibri"/>
          <w:b w:val="false"/>
          <w:bCs w:val="false"/>
          <w:color w:val="000000"/>
          <w:sz w:val="22"/>
          <w:szCs w:val="22"/>
        </w:rPr>
        <w:t xml:space="preserve"> L1-penalized logistic regression was fitted using LogisticRegressionCV with 30 candidate regularization values (C ∈ [10⁻³, 10²]), optimized by 5-fold stratified cross-validation for AUC.</w:t>
      </w:r>
    </w:p>
    <w:p>
      <w:pPr>
        <w:spacing w:after="40" w:before="40" w:line="276" w:lineRule="auto"/>
        <w:jc w:val="both"/>
      </w:pPr>
      <w:r>
        <w:rPr>
          <w:rFonts w:ascii="Calibri" w:cs="Calibri" w:eastAsia="Calibri" w:hAnsi="Calibri"/>
          <w:b/>
          <w:bCs/>
          <w:color w:val="000000"/>
          <w:sz w:val="22"/>
          <w:szCs w:val="22"/>
        </w:rPr>
        <w:t xml:space="preserve">LASSO logistic regression (biomarker discovery mode):</w:t>
      </w:r>
      <w:r>
        <w:rPr>
          <w:rFonts w:ascii="Calibri" w:cs="Calibri" w:eastAsia="Calibri" w:hAnsi="Calibri"/>
          <w:b w:val="false"/>
          <w:bCs w:val="false"/>
          <w:color w:val="000000"/>
          <w:sz w:val="22"/>
          <w:szCs w:val="22"/>
        </w:rPr>
        <w:t xml:space="preserve"> A fixed regularization (C = 0.5) was applied to identify a broader set of candidate biomarker genes, enabling biologically informative gene selection beyond the minimum classifier.</w:t>
      </w:r>
    </w:p>
    <w:p>
      <w:pPr>
        <w:spacing w:after="40" w:before="40" w:line="276" w:lineRule="auto"/>
        <w:jc w:val="both"/>
      </w:pPr>
      <w:r>
        <w:rPr>
          <w:rFonts w:ascii="Calibri" w:cs="Calibri" w:eastAsia="Calibri" w:hAnsi="Calibri"/>
          <w:b/>
          <w:bCs/>
          <w:color w:val="000000"/>
          <w:sz w:val="22"/>
          <w:szCs w:val="22"/>
        </w:rPr>
        <w:t xml:space="preserve">Random Forest:</w:t>
      </w:r>
      <w:r>
        <w:rPr>
          <w:rFonts w:ascii="Calibri" w:cs="Calibri" w:eastAsia="Calibri" w:hAnsi="Calibri"/>
          <w:b w:val="false"/>
          <w:bCs w:val="false"/>
          <w:color w:val="000000"/>
          <w:sz w:val="22"/>
          <w:szCs w:val="22"/>
        </w:rPr>
        <w:t xml:space="preserve"> Random Forest classifiers (300 trees, balanced class weight) were trained on the same feature pool. Feature importances (mean decrease in Gini impurity) were computed and the top 50 genes identified.</w:t>
      </w:r>
    </w:p>
    <w:p>
      <w:pPr>
        <w:spacing w:after="80" w:before="40" w:line="276" w:lineRule="auto"/>
        <w:jc w:val="both"/>
      </w:pPr>
      <w:r>
        <w:rPr>
          <w:rFonts w:ascii="Calibri" w:cs="Calibri" w:eastAsia="Calibri" w:hAnsi="Calibri"/>
          <w:b/>
          <w:bCs/>
          <w:color w:val="000000"/>
          <w:sz w:val="22"/>
          <w:szCs w:val="22"/>
        </w:rPr>
        <w:t xml:space="preserve">Consensus biomarkers:</w:t>
      </w:r>
      <w:r>
        <w:rPr>
          <w:rFonts w:ascii="Calibri" w:cs="Calibri" w:eastAsia="Calibri" w:hAnsi="Calibri"/>
          <w:b w:val="false"/>
          <w:bCs w:val="false"/>
          <w:color w:val="000000"/>
          <w:sz w:val="22"/>
          <w:szCs w:val="22"/>
        </w:rPr>
        <w:t xml:space="preserve"> Genes selected by LASSO (C = 0.5) AND in the RF top-50 were defined as per-comparison biomarker candidates.</w:t>
      </w:r>
    </w:p>
    <w:p>
      <w:pPr>
        <w:pStyle w:val="Heading2"/>
        <w:spacing w:after="80" w:before="240"/>
      </w:pPr>
      <w:r>
        <w:rPr>
          <w:rFonts w:ascii="Calibri" w:cs="Calibri" w:eastAsia="Calibri" w:hAnsi="Calibri"/>
          <w:b/>
          <w:bCs/>
          <w:color w:val="2C3E50"/>
          <w:sz w:val="24"/>
          <w:szCs w:val="24"/>
        </w:rPr>
        <w:t xml:space="preserve">2.5 Biomarker Stability Analysis</w:t>
      </w:r>
    </w:p>
    <w:p>
      <w:pPr>
        <w:spacing w:after="80" w:before="80" w:line="276" w:lineRule="auto"/>
        <w:jc w:val="both"/>
      </w:pPr>
      <w:r>
        <w:rPr>
          <w:rFonts w:ascii="Calibri" w:cs="Calibri" w:eastAsia="Calibri" w:hAnsi="Calibri"/>
          <w:b w:val="false"/>
          <w:bCs w:val="false"/>
          <w:i w:val="false"/>
          <w:iCs w:val="false"/>
          <w:color w:val="000000"/>
          <w:sz w:val="22"/>
          <w:szCs w:val="22"/>
        </w:rPr>
        <w:t xml:space="preserve">A four-step stability framework was applied across the four comparisons:</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Venn diagram construction: </w:t>
      </w:r>
      <w:r>
        <w:rPr>
          <w:rFonts w:ascii="Calibri" w:cs="Calibri" w:eastAsia="Calibri" w:hAnsi="Calibri"/>
          <w:b w:val="false"/>
          <w:bCs w:val="false"/>
          <w:i w:val="false"/>
          <w:iCs w:val="false"/>
          <w:color w:val="000000"/>
          <w:sz w:val="22"/>
          <w:szCs w:val="22"/>
        </w:rPr>
        <w:t xml:space="preserve">Four-set and pairwise Venn diagrams were generated to visualize overlap between per-comparison candidate sets.</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Stability score calculation: </w:t>
      </w:r>
      <w:r>
        <w:rPr>
          <w:rFonts w:ascii="Calibri" w:cs="Calibri" w:eastAsia="Calibri" w:hAnsi="Calibri"/>
          <w:b w:val="false"/>
          <w:bCs w:val="false"/>
          <w:i w:val="false"/>
          <w:iCs w:val="false"/>
          <w:color w:val="000000"/>
          <w:sz w:val="22"/>
          <w:szCs w:val="22"/>
        </w:rPr>
        <w:t xml:space="preserve">Each gene was assigned a score equal to the number of comparisons in which it appeared in the consensus biomarker set.</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Stratification by score: </w:t>
      </w:r>
      <w:r>
        <w:rPr>
          <w:rFonts w:ascii="Calibri" w:cs="Calibri" w:eastAsia="Calibri" w:hAnsi="Calibri"/>
          <w:b w:val="false"/>
          <w:bCs w:val="false"/>
          <w:i w:val="false"/>
          <w:iCs w:val="false"/>
          <w:color w:val="000000"/>
          <w:sz w:val="22"/>
          <w:szCs w:val="22"/>
        </w:rPr>
        <w:t xml:space="preserve">Genes were grouped by stability score (1–4) and tabulated with direction and log₂FC values.</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Final candidate selection: </w:t>
      </w:r>
      <w:r>
        <w:rPr>
          <w:rFonts w:ascii="Calibri" w:cs="Calibri" w:eastAsia="Calibri" w:hAnsi="Calibri"/>
          <w:b w:val="false"/>
          <w:bCs w:val="false"/>
          <w:i w:val="false"/>
          <w:iCs w:val="false"/>
          <w:color w:val="000000"/>
          <w:sz w:val="22"/>
          <w:szCs w:val="22"/>
        </w:rPr>
        <w:t xml:space="preserve">Genes with stability score ≥ 3 were retained and subjected to biological validation.</w:t>
      </w:r>
    </w:p>
    <w:p>
      <w:pPr>
        <w:pStyle w:val="Heading2"/>
        <w:spacing w:after="80" w:before="240"/>
      </w:pPr>
      <w:r>
        <w:rPr>
          <w:rFonts w:ascii="Calibri" w:cs="Calibri" w:eastAsia="Calibri" w:hAnsi="Calibri"/>
          <w:b/>
          <w:bCs/>
          <w:color w:val="2C3E50"/>
          <w:sz w:val="24"/>
          <w:szCs w:val="24"/>
        </w:rPr>
        <w:t xml:space="preserve">2.6 Biological Validation</w:t>
      </w:r>
    </w:p>
    <w:p>
      <w:pPr>
        <w:spacing w:after="40" w:before="60" w:line="276" w:lineRule="auto"/>
        <w:jc w:val="both"/>
      </w:pPr>
      <w:r>
        <w:rPr>
          <w:rFonts w:ascii="Calibri" w:cs="Calibri" w:eastAsia="Calibri" w:hAnsi="Calibri"/>
          <w:b/>
          <w:bCs/>
          <w:color w:val="000000"/>
          <w:sz w:val="22"/>
          <w:szCs w:val="22"/>
        </w:rPr>
        <w:t xml:space="preserve">Gene name mapping:</w:t>
      </w:r>
      <w:r>
        <w:rPr>
          <w:rFonts w:ascii="Calibri" w:cs="Calibri" w:eastAsia="Calibri" w:hAnsi="Calibri"/>
          <w:b w:val="false"/>
          <w:bCs w:val="false"/>
          <w:color w:val="000000"/>
          <w:sz w:val="22"/>
          <w:szCs w:val="22"/>
        </w:rPr>
        <w:t xml:space="preserve"> Ensembl IDs were mapped to HGNC gene symbols using the mygene.info REST API.</w:t>
      </w:r>
    </w:p>
    <w:p>
      <w:pPr>
        <w:spacing w:after="40" w:before="40" w:line="276" w:lineRule="auto"/>
        <w:jc w:val="both"/>
      </w:pPr>
      <w:r>
        <w:rPr>
          <w:rFonts w:ascii="Calibri" w:cs="Calibri" w:eastAsia="Calibri" w:hAnsi="Calibri"/>
          <w:b/>
          <w:bCs/>
          <w:color w:val="000000"/>
          <w:sz w:val="22"/>
          <w:szCs w:val="22"/>
        </w:rPr>
        <w:t xml:space="preserve">Pathway enrichment:</w:t>
      </w:r>
      <w:r>
        <w:rPr>
          <w:rFonts w:ascii="Calibri" w:cs="Calibri" w:eastAsia="Calibri" w:hAnsi="Calibri"/>
          <w:b w:val="false"/>
          <w:bCs w:val="false"/>
          <w:color w:val="000000"/>
          <w:sz w:val="22"/>
          <w:szCs w:val="22"/>
        </w:rPr>
        <w:t xml:space="preserve"> Gene symbols of final candidates were submitted to g:Profiler (version e111) using GO:BP, GO:MF, GO:CC, KEGG, REAC, and WP sources with FDR &lt; 0.05 threshold.</w:t>
      </w:r>
    </w:p>
    <w:p>
      <w:pPr>
        <w:spacing w:after="80" w:before="40" w:line="276" w:lineRule="auto"/>
        <w:jc w:val="both"/>
      </w:pPr>
      <w:r>
        <w:rPr>
          <w:rFonts w:ascii="Calibri" w:cs="Calibri" w:eastAsia="Calibri" w:hAnsi="Calibri"/>
          <w:b/>
          <w:bCs/>
          <w:color w:val="000000"/>
          <w:sz w:val="22"/>
          <w:szCs w:val="22"/>
        </w:rPr>
        <w:t xml:space="preserve">Survival analysis:</w:t>
      </w:r>
      <w:r>
        <w:rPr>
          <w:rFonts w:ascii="Calibri" w:cs="Calibri" w:eastAsia="Calibri" w:hAnsi="Calibri"/>
          <w:b w:val="false"/>
          <w:bCs w:val="false"/>
          <w:color w:val="000000"/>
          <w:sz w:val="22"/>
          <w:szCs w:val="22"/>
        </w:rPr>
        <w:t xml:space="preserve"> Overall survival (OS) data for TCGA COAD patients were downloaded from the NCI Genomic Data Commons (GDC) API. Kaplan–Meier curves were estimated using the lifelines library and group differences assessed with the log-rank test.</w:t>
      </w:r>
    </w:p>
    <w:p>
      <w:pPr>
        <w:pStyle w:val="Heading2"/>
        <w:spacing w:after="80" w:before="240"/>
      </w:pPr>
      <w:r>
        <w:rPr>
          <w:rFonts w:ascii="Calibri" w:cs="Calibri" w:eastAsia="Calibri" w:hAnsi="Calibri"/>
          <w:b/>
          <w:bCs/>
          <w:color w:val="2C3E50"/>
          <w:sz w:val="24"/>
          <w:szCs w:val="24"/>
        </w:rPr>
        <w:t xml:space="preserve">2.7 Software</w:t>
      </w:r>
    </w:p>
    <w:p>
      <w:pPr>
        <w:spacing w:after="80" w:before="80" w:line="276" w:lineRule="auto"/>
        <w:jc w:val="both"/>
      </w:pPr>
      <w:r>
        <w:rPr>
          <w:rFonts w:ascii="Calibri" w:cs="Calibri" w:eastAsia="Calibri" w:hAnsi="Calibri"/>
          <w:b w:val="false"/>
          <w:bCs w:val="false"/>
          <w:i w:val="false"/>
          <w:iCs w:val="false"/>
          <w:color w:val="000000"/>
          <w:sz w:val="22"/>
          <w:szCs w:val="22"/>
        </w:rPr>
        <w:t xml:space="preserve">All analyses were performed in Python 3.x using pandas, numpy, scipy, scikit-learn, neuroCombat, matplotlib, matplotlib-venn, and lifelines libraries. Scripts are available in the scripts/ directory of the project repository.</w:t>
      </w:r>
    </w:p>
    <w:p>
      <w:pPr>
        <w:pStyle w:val="Heading1"/>
        <w:pBdr>
          <w:bottom w:val="single" w:color="2980B9" w:sz="6" w:space="4"/>
        </w:pBdr>
        <w:spacing w:after="120" w:before="320"/>
      </w:pPr>
      <w:r>
        <w:rPr>
          <w:rFonts w:ascii="Calibri" w:cs="Calibri" w:eastAsia="Calibri" w:hAnsi="Calibri"/>
          <w:b/>
          <w:bCs/>
          <w:color w:val="1A252F"/>
          <w:sz w:val="28"/>
          <w:szCs w:val="28"/>
        </w:rPr>
        <w:t xml:space="preserve">3. Results</w:t>
      </w:r>
    </w:p>
    <w:p>
      <w:pPr>
        <w:pStyle w:val="Heading2"/>
        <w:spacing w:after="80" w:before="240"/>
      </w:pPr>
      <w:r>
        <w:rPr>
          <w:rFonts w:ascii="Calibri" w:cs="Calibri" w:eastAsia="Calibri" w:hAnsi="Calibri"/>
          <w:b/>
          <w:bCs/>
          <w:color w:val="2C3E50"/>
          <w:sz w:val="24"/>
          <w:szCs w:val="24"/>
        </w:rPr>
        <w:t xml:space="preserve">3.1 Sample Composition and Batch Effect Correction</w:t>
      </w:r>
    </w:p>
    <w:p>
      <w:pPr>
        <w:spacing w:after="80" w:before="80" w:line="276" w:lineRule="auto"/>
        <w:jc w:val="both"/>
      </w:pPr>
      <w:r>
        <w:rPr>
          <w:rFonts w:ascii="Calibri" w:cs="Calibri" w:eastAsia="Calibri" w:hAnsi="Calibri"/>
          <w:b w:val="false"/>
          <w:bCs w:val="false"/>
          <w:color w:val="000000"/>
          <w:sz w:val="22"/>
          <w:szCs w:val="22"/>
        </w:rPr>
        <w:t xml:space="preserve">A total of 637 samples were included: 288 TCGA COAD tumor, 41 TCGA COAD NAT, 167 GTEx Colon Transverse, and 141 GTEx Colon Sigmoid. PCA prior to batch correction revealed a strong cohort-driven separation, with GTEx samples clustering distinctly from TCGA samples along PC1 (Figure QC-1). Following neuroCombat correction applied to the NAT + GTEx subset (n = 349), the inter-cohort separation was substantially reduced while within-group biological structure was preserved (Figure QC-2).</w:t>
      </w:r>
    </w:p>
    <w:p>
      <w:pPr>
        <w:pStyle w:val="Heading2"/>
        <w:spacing w:after="80" w:before="240"/>
      </w:pPr>
      <w:r>
        <w:rPr>
          <w:rFonts w:ascii="Calibri" w:cs="Calibri" w:eastAsia="Calibri" w:hAnsi="Calibri"/>
          <w:b/>
          <w:bCs/>
          <w:color w:val="2C3E50"/>
          <w:sz w:val="24"/>
          <w:szCs w:val="24"/>
        </w:rPr>
        <w:t xml:space="preserve">3.2 Differential Expression Analysis</w:t>
      </w:r>
    </w:p>
    <w:p>
      <w:pPr>
        <w:spacing w:after="80" w:before="80" w:line="276" w:lineRule="auto"/>
        <w:jc w:val="both"/>
      </w:pPr>
      <w:r>
        <w:rPr>
          <w:rFonts w:ascii="Calibri" w:cs="Calibri" w:eastAsia="Calibri" w:hAnsi="Calibri"/>
          <w:b w:val="false"/>
          <w:bCs w:val="false"/>
          <w:color w:val="000000"/>
          <w:sz w:val="22"/>
          <w:szCs w:val="22"/>
        </w:rPr>
        <w:t xml:space="preserve">Across all four comparisons, large numbers of significant DEGs were identified (|log₂FC| &gt; 1, FDR &lt; 0.05):</w:t>
      </w:r>
    </w:p>
    <w:p>
      <w:pPr>
        <w:spacing w:after="0" w:before="80"/>
      </w:pP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900"/>
        <w:gridCol w:w="1760"/>
      </w:tblGrid>
      <w:tr>
        <w:trPr>
          <w:tblHeader/>
        </w:trPr>
        <w:tc>
          <w:tcPr>
            <w:tcW w:type="dxa" w:w="2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Comparison</w:t>
            </w:r>
          </w:p>
        </w:tc>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Up-regulated</w:t>
            </w:r>
          </w:p>
        </w:tc>
        <w:tc>
          <w:tcPr>
            <w:tcW w:type="dxa" w:w="19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Down-regulated</w:t>
            </w:r>
          </w:p>
        </w:tc>
        <w:tc>
          <w:tcPr>
            <w:tcW w:type="dxa" w:w="176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DEGs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Tumor vs. NAT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5,454</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6,169</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color w:val="000000"/>
                <w:sz w:val="20"/>
                <w:szCs w:val="20"/>
              </w:rPr>
              <w:t xml:space="preserve">11,623</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Tumor vs. GTEx All</w:t>
            </w:r>
          </w:p>
        </w:tc>
        <w:tc>
          <w:tcPr>
            <w:tcW w:type="dxa" w:w="1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7,659</w:t>
            </w:r>
          </w:p>
        </w:tc>
        <w:tc>
          <w:tcPr>
            <w:tcW w:type="dxa" w:w="19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9,903</w:t>
            </w:r>
          </w:p>
        </w:tc>
        <w:tc>
          <w:tcPr>
            <w:tcW w:type="dxa" w:w="17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bCs/>
                <w:color w:val="000000"/>
                <w:sz w:val="20"/>
                <w:szCs w:val="20"/>
              </w:rPr>
              <w:t xml:space="preserve">17,562</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Tumor vs. GTEx Transverse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7,105</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9,411</w:t>
            </w:r>
          </w:p>
        </w:tc>
        <w:tc>
          <w:tcPr>
            <w:tcW w:type="dxa" w:w="1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color w:val="000000"/>
                <w:sz w:val="20"/>
                <w:szCs w:val="20"/>
              </w:rPr>
              <w:t xml:space="preserve">16,516</w:t>
            </w:r>
          </w:p>
        </w:tc>
      </w:tr>
      <w:tr>
        <w:tc>
          <w:tcPr>
            <w:tcW w:type="dxa" w:w="2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Tumor vs. GTEx Sigmoid</w:t>
            </w:r>
          </w:p>
        </w:tc>
        <w:tc>
          <w:tcPr>
            <w:tcW w:type="dxa" w:w="18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8,387</w:t>
            </w:r>
          </w:p>
        </w:tc>
        <w:tc>
          <w:tcPr>
            <w:tcW w:type="dxa" w:w="19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10,911</w:t>
            </w:r>
          </w:p>
        </w:tc>
        <w:tc>
          <w:tcPr>
            <w:tcW w:type="dxa" w:w="17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bCs/>
                <w:color w:val="000000"/>
                <w:sz w:val="20"/>
                <w:szCs w:val="20"/>
              </w:rPr>
              <w:t xml:space="preserve">19,298</w:t>
            </w:r>
          </w:p>
        </w:tc>
      </w:tr>
    </w:tbl>
    <w:p>
      <w:pPr>
        <w:spacing w:after="0" w:before="120"/>
      </w:pPr>
    </w:p>
    <w:p>
      <w:pPr>
        <w:spacing w:after="80" w:before="80" w:line="276" w:lineRule="auto"/>
        <w:jc w:val="both"/>
      </w:pPr>
      <w:r>
        <w:rPr>
          <w:rFonts w:ascii="Calibri" w:cs="Calibri" w:eastAsia="Calibri" w:hAnsi="Calibri"/>
          <w:b w:val="false"/>
          <w:bCs w:val="false"/>
          <w:color w:val="000000"/>
          <w:sz w:val="22"/>
          <w:szCs w:val="22"/>
        </w:rPr>
        <w:t xml:space="preserve">The GTEx-based comparisons consistently produced more DEGs than the NAT comparison (~50–66% more total), consistent with NAT exhibiting an intermediate transcriptomic state between healthy and tumor tissue. Volcano plots for each comparison are shown in Figures DEG-1 through DEG-4 (results/deg/).</w:t>
      </w:r>
    </w:p>
    <w:p>
      <w:pPr>
        <w:pStyle w:val="Heading2"/>
        <w:spacing w:after="80" w:before="240"/>
      </w:pPr>
      <w:r>
        <w:rPr>
          <w:rFonts w:ascii="Calibri" w:cs="Calibri" w:eastAsia="Calibri" w:hAnsi="Calibri"/>
          <w:b/>
          <w:bCs/>
          <w:color w:val="2C3E50"/>
          <w:sz w:val="24"/>
          <w:szCs w:val="24"/>
        </w:rPr>
        <w:t xml:space="preserve">3.3 Machine Learning Classification Performance</w:t>
      </w:r>
    </w:p>
    <w:p>
      <w:pPr>
        <w:spacing w:after="80" w:before="80" w:line="276" w:lineRule="auto"/>
        <w:jc w:val="both"/>
      </w:pPr>
      <w:r>
        <w:rPr>
          <w:rFonts w:ascii="Calibri" w:cs="Calibri" w:eastAsia="Calibri" w:hAnsi="Calibri"/>
          <w:b w:val="false"/>
          <w:bCs w:val="false"/>
          <w:color w:val="000000"/>
          <w:sz w:val="22"/>
          <w:szCs w:val="22"/>
        </w:rPr>
        <w:t xml:space="preserve">LASSO logistic regression with cross-validated optimal C values selected 1–3 genes per comparison, all achieving cross-validated AUC = 1.000. Random Forest likewise achieved AUC = 1.000 across all four settings, confirming that the top DEG feature set provides near-perfect discriminative separation between tumor and normal tissue regardless of control group (Figure ML-1).</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300"/>
        <w:gridCol w:w="1200"/>
        <w:gridCol w:w="1200"/>
      </w:tblGrid>
      <w:tr>
        <w:trPr>
          <w:tblHeader/>
        </w:trPr>
        <w:tc>
          <w:tcPr>
            <w:tcW w:type="dxa" w:w="23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Comparison</w:t>
            </w:r>
          </w:p>
        </w:tc>
        <w:tc>
          <w:tcPr>
            <w:tcW w:type="dxa" w:w="14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LASSO-opt genes</w:t>
            </w:r>
          </w:p>
        </w:tc>
        <w:tc>
          <w:tcPr>
            <w:tcW w:type="dxa" w:w="14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LASSO-bio genes</w:t>
            </w:r>
          </w:p>
        </w:tc>
        <w:tc>
          <w:tcPr>
            <w:tcW w:type="dxa" w:w="13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Consensus</w:t>
            </w:r>
          </w:p>
        </w:tc>
        <w:tc>
          <w:tcPr>
            <w:tcW w:type="dxa" w:w="12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LASSO AUC</w:t>
            </w:r>
          </w:p>
        </w:tc>
        <w:tc>
          <w:tcPr>
            <w:tcW w:type="dxa" w:w="12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RF AUC</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Tumor vs. NAT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19</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1.000</w:t>
            </w:r>
          </w:p>
        </w:tc>
      </w:tr>
      <w:tr>
        <w:tc>
          <w:tcPr>
            <w:tcW w:type="dxa" w:w="23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Tumor vs. GTEx All</w:t>
            </w:r>
          </w:p>
        </w:tc>
        <w:tc>
          <w:tcPr>
            <w:tcW w:type="dxa" w:w="14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14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40</w:t>
            </w:r>
          </w:p>
        </w:tc>
        <w:tc>
          <w:tcPr>
            <w:tcW w:type="dxa" w:w="13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12</w:t>
            </w:r>
          </w:p>
        </w:tc>
        <w:tc>
          <w:tcPr>
            <w:tcW w:type="dxa" w:w="12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1.000</w:t>
            </w:r>
          </w:p>
        </w:tc>
        <w:tc>
          <w:tcPr>
            <w:tcW w:type="dxa" w:w="12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1.000</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Tumor vs. GTEx Trans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32</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14</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1.000</w:t>
            </w:r>
          </w:p>
        </w:tc>
      </w:tr>
      <w:tr>
        <w:tc>
          <w:tcPr>
            <w:tcW w:type="dxa" w:w="23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Tumor vs. GTEx Sig</w:t>
            </w:r>
          </w:p>
        </w:tc>
        <w:tc>
          <w:tcPr>
            <w:tcW w:type="dxa" w:w="14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w:t>
            </w:r>
          </w:p>
        </w:tc>
        <w:tc>
          <w:tcPr>
            <w:tcW w:type="dxa" w:w="14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34</w:t>
            </w:r>
          </w:p>
        </w:tc>
        <w:tc>
          <w:tcPr>
            <w:tcW w:type="dxa" w:w="13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14</w:t>
            </w:r>
          </w:p>
        </w:tc>
        <w:tc>
          <w:tcPr>
            <w:tcW w:type="dxa" w:w="12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1.000</w:t>
            </w:r>
          </w:p>
        </w:tc>
        <w:tc>
          <w:tcPr>
            <w:tcW w:type="dxa" w:w="12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1.000</w:t>
            </w:r>
          </w:p>
        </w:tc>
      </w:tr>
    </w:tbl>
    <w:p>
      <w:pPr>
        <w:spacing w:after="0" w:before="120"/>
      </w:pPr>
    </w:p>
    <w:p>
      <w:pPr>
        <w:pStyle w:val="Heading2"/>
        <w:spacing w:after="80" w:before="240"/>
      </w:pPr>
      <w:r>
        <w:rPr>
          <w:rFonts w:ascii="Calibri" w:cs="Calibri" w:eastAsia="Calibri" w:hAnsi="Calibri"/>
          <w:b/>
          <w:bCs/>
          <w:color w:val="2C3E50"/>
          <w:sz w:val="24"/>
          <w:szCs w:val="24"/>
        </w:rPr>
        <w:t xml:space="preserve">3.4 Biomarker Stability Across Control Groups</w:t>
      </w:r>
    </w:p>
    <w:p>
      <w:pPr>
        <w:spacing w:after="80" w:before="80" w:line="276" w:lineRule="auto"/>
        <w:jc w:val="both"/>
      </w:pPr>
      <w:r>
        <w:rPr>
          <w:rFonts w:ascii="Calibri" w:cs="Calibri" w:eastAsia="Calibri" w:hAnsi="Calibri"/>
          <w:b w:val="false"/>
          <w:bCs w:val="false"/>
          <w:color w:val="000000"/>
          <w:sz w:val="22"/>
          <w:szCs w:val="22"/>
        </w:rPr>
        <w:t xml:space="preserve">The four-set Venn diagram (Figure STAB-1) revealed limited overlap among per-comparison biomarker candidate sets. Of 30 unique candidate genes identified across all comparisons, only 6 appeared in 3 or more comparisons (stability score ≥ 3), and none appeared in all 4.</w:t>
      </w:r>
    </w:p>
    <w:p>
      <w:pPr>
        <w:spacing w:after="0" w:before="80"/>
      </w:pP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260"/>
      </w:tblGrid>
      <w:tr>
        <w:trPr>
          <w:tblHeader/>
        </w:trPr>
        <w:tc>
          <w:tcPr>
            <w:tcW w:type="dxa" w:w="1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w:t>
            </w:r>
          </w:p>
        </w:tc>
        <w:tc>
          <w:tcPr>
            <w:tcW w:type="dxa" w:w="1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Genes (n)</w:t>
            </w:r>
          </w:p>
        </w:tc>
        <w:tc>
          <w:tcPr>
            <w:tcW w:type="dxa" w:w="526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Interpretation</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4 / 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0</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Consistent across all control groups</w:t>
            </w:r>
          </w:p>
        </w:tc>
      </w:tr>
      <w:tr>
        <w:tc>
          <w:tcPr>
            <w:tcW w:type="dxa" w:w="15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3 / 4</w:t>
            </w:r>
          </w:p>
        </w:tc>
        <w:tc>
          <w:tcPr>
            <w:tcW w:type="dxa" w:w="15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bCs/>
                <w:color w:val="000000"/>
                <w:sz w:val="20"/>
                <w:szCs w:val="20"/>
              </w:rPr>
              <w:t xml:space="preserve">6</w:t>
            </w:r>
          </w:p>
        </w:tc>
        <w:tc>
          <w:tcPr>
            <w:tcW w:type="dxa" w:w="52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Consistent across 3 control groups</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2 / 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5</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Moderately stable</w:t>
            </w:r>
          </w:p>
        </w:tc>
      </w:tr>
      <w:tr>
        <w:tc>
          <w:tcPr>
            <w:tcW w:type="dxa" w:w="15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1 / 4</w:t>
            </w:r>
          </w:p>
        </w:tc>
        <w:tc>
          <w:tcPr>
            <w:tcW w:type="dxa" w:w="15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19</w:t>
            </w:r>
          </w:p>
        </w:tc>
        <w:tc>
          <w:tcPr>
            <w:tcW w:type="dxa" w:w="52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Control-group-specific</w:t>
            </w:r>
          </w:p>
        </w:tc>
      </w:tr>
    </w:tbl>
    <w:p>
      <w:pPr>
        <w:spacing w:after="0" w:before="120"/>
      </w:pPr>
    </w:p>
    <w:p>
      <w:pPr>
        <w:spacing w:after="80" w:before="80" w:line="276" w:lineRule="auto"/>
        <w:jc w:val="both"/>
      </w:pPr>
      <w:r>
        <w:rPr>
          <w:rFonts w:ascii="Calibri" w:cs="Calibri" w:eastAsia="Calibri" w:hAnsi="Calibri"/>
          <w:b w:val="false"/>
          <w:bCs w:val="false"/>
          <w:color w:val="000000"/>
          <w:sz w:val="22"/>
          <w:szCs w:val="22"/>
        </w:rPr>
        <w:t xml:space="preserve">The stability heatmap (Figure STAB-2) shows that biomarker composition is substantially different between the NAT comparison and the three GTEx comparisons, confirming that </w:t>
      </w:r>
      <w:r>
        <w:rPr>
          <w:rFonts w:ascii="Calibri" w:cs="Calibri" w:eastAsia="Calibri" w:hAnsi="Calibri"/>
          <w:b/>
          <w:bCs/>
          <w:color w:val="000000"/>
          <w:sz w:val="22"/>
          <w:szCs w:val="22"/>
        </w:rPr>
        <w:t xml:space="preserve">normal reference choice is a major determinant of the resulting biomarker set</w:t>
      </w:r>
      <w:r>
        <w:rPr>
          <w:rFonts w:ascii="Calibri" w:cs="Calibri" w:eastAsia="Calibri" w:hAnsi="Calibri"/>
          <w:b w:val="false"/>
          <w:bCs w:val="false"/>
          <w:color w:val="000000"/>
          <w:sz w:val="22"/>
          <w:szCs w:val="22"/>
        </w:rPr>
        <w:t xml:space="preserve">. Of the 6 genes with stability score ≥ 3, two were excluded on technical grounds: ENSG00000279473 (a retired Ensembl ID) and HMGN1P36 (a non-coding pseudogene with log₂FC vs. NAT &lt; 0.4, implicating residual batch-effect artifact).</w:t>
      </w:r>
    </w:p>
    <w:p>
      <w:pPr>
        <w:pStyle w:val="Heading2"/>
        <w:spacing w:after="80" w:before="240"/>
      </w:pPr>
      <w:r>
        <w:rPr>
          <w:rFonts w:ascii="Calibri" w:cs="Calibri" w:eastAsia="Calibri" w:hAnsi="Calibri"/>
          <w:b/>
          <w:bCs/>
          <w:color w:val="2C3E50"/>
          <w:sz w:val="24"/>
          <w:szCs w:val="24"/>
        </w:rPr>
        <w:t xml:space="preserve">3.5 Final Biomarker Candidates</w:t>
      </w:r>
    </w:p>
    <w:p>
      <w:pPr>
        <w:spacing w:after="80" w:before="80" w:line="276" w:lineRule="auto"/>
        <w:jc w:val="both"/>
      </w:pPr>
      <w:r>
        <w:rPr>
          <w:rFonts w:ascii="Calibri" w:cs="Calibri" w:eastAsia="Calibri" w:hAnsi="Calibri"/>
          <w:b w:val="false"/>
          <w:bCs w:val="false"/>
          <w:color w:val="000000"/>
          <w:sz w:val="22"/>
          <w:szCs w:val="22"/>
        </w:rPr>
        <w:t xml:space="preserve">After artifact exclusion, four high-confidence biomarker candidates were retained (Figure STAB-3):</w:t>
      </w:r>
    </w:p>
    <w:p>
      <w:pPr>
        <w:spacing w:after="0" w:before="80"/>
      </w:pP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900"/>
        <w:gridCol w:w="1300"/>
        <w:gridCol w:w="1600"/>
        <w:gridCol w:w="760"/>
      </w:tblGrid>
      <w:tr>
        <w:trPr>
          <w:tblHeader/>
        </w:trPr>
        <w:tc>
          <w:tcPr>
            <w:tcW w:type="dxa" w:w="10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Gene</w:t>
            </w:r>
          </w:p>
        </w:tc>
        <w:tc>
          <w:tcPr>
            <w:tcW w:type="dxa" w:w="27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Full Name</w:t>
            </w:r>
          </w:p>
        </w:tc>
        <w:tc>
          <w:tcPr>
            <w:tcW w:type="dxa" w:w="9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Stability</w:t>
            </w:r>
          </w:p>
        </w:tc>
        <w:tc>
          <w:tcPr>
            <w:tcW w:type="dxa" w:w="13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log₂FC vs. NAT</w:t>
            </w:r>
          </w:p>
        </w:tc>
        <w:tc>
          <w:tcPr>
            <w:tcW w:type="dxa" w:w="16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log₂FC vs. GTEx All</w:t>
            </w:r>
          </w:p>
        </w:tc>
        <w:tc>
          <w:tcPr>
            <w:tcW w:type="dxa" w:w="76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Direction</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CDH3</w:t>
            </w:r>
          </w:p>
        </w:tc>
        <w:tc>
          <w:tcPr>
            <w:tcW w:type="dxa" w:w="2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Cadherin-3 (P-Cadherin)</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3 / 4</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+4.84</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+6.05</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Up</w:t>
            </w:r>
          </w:p>
        </w:tc>
      </w:tr>
      <w:tr>
        <w:tc>
          <w:tcPr>
            <w:tcW w:type="dxa" w:w="10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CLDN1</w:t>
            </w:r>
          </w:p>
        </w:tc>
        <w:tc>
          <w:tcPr>
            <w:tcW w:type="dxa" w:w="27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Claudin-1</w:t>
            </w:r>
          </w:p>
        </w:tc>
        <w:tc>
          <w:tcPr>
            <w:tcW w:type="dxa" w:w="9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3 / 4</w:t>
            </w:r>
          </w:p>
        </w:tc>
        <w:tc>
          <w:tcPr>
            <w:tcW w:type="dxa" w:w="13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+4.84</w:t>
            </w:r>
          </w:p>
        </w:tc>
        <w:tc>
          <w:tcPr>
            <w:tcW w:type="dxa" w:w="16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+6.43</w:t>
            </w:r>
          </w:p>
        </w:tc>
        <w:tc>
          <w:tcPr>
            <w:tcW w:type="dxa" w:w="7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Up</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ETV4</w:t>
            </w:r>
          </w:p>
        </w:tc>
        <w:tc>
          <w:tcPr>
            <w:tcW w:type="dxa" w:w="2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ETS Variant Transcription Factor 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3 / 4</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+5.35</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+6.43</w:t>
            </w:r>
          </w:p>
        </w:tc>
        <w:tc>
          <w:tcPr>
            <w:tcW w:type="dxa" w:w="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Up</w:t>
            </w:r>
          </w:p>
        </w:tc>
      </w:tr>
      <w:tr>
        <w:tc>
          <w:tcPr>
            <w:tcW w:type="dxa" w:w="10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KRT80</w:t>
            </w:r>
          </w:p>
        </w:tc>
        <w:tc>
          <w:tcPr>
            <w:tcW w:type="dxa" w:w="27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Keratin 80</w:t>
            </w:r>
          </w:p>
        </w:tc>
        <w:tc>
          <w:tcPr>
            <w:tcW w:type="dxa" w:w="9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3 / 4</w:t>
            </w:r>
          </w:p>
        </w:tc>
        <w:tc>
          <w:tcPr>
            <w:tcW w:type="dxa" w:w="13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+7.14</w:t>
            </w:r>
          </w:p>
        </w:tc>
        <w:tc>
          <w:tcPr>
            <w:tcW w:type="dxa" w:w="160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+6.91</w:t>
            </w:r>
          </w:p>
        </w:tc>
        <w:tc>
          <w:tcPr>
            <w:tcW w:type="dxa" w:w="760"/>
            <w:tcBorders>
              <w:top w:val="single" w:color="CCCCCC" w:sz="4"/>
              <w:left w:val="single" w:color="CCCCCC" w:sz="4"/>
              <w:bottom w:val="single" w:color="CCCCCC" w:sz="4"/>
              <w:right w:val="single" w:color="CCCCCC" w:sz="4"/>
            </w:tcBorders>
            <w:shd w:fill="EEF2F7" w:val="clear"/>
            <w:tcMar>
              <w:top w:type="dxa" w:w="60"/>
              <w:left w:type="dxa" w:w="120"/>
              <w:bottom w:type="dxa" w:w="60"/>
              <w:right w:type="dxa" w:w="120"/>
            </w:tcMar>
            <w:vAlign w:val="center"/>
          </w:tcPr>
          <w:p>
            <w:pPr>
              <w:jc w:val="center"/>
            </w:pPr>
            <w:r>
              <w:rPr>
                <w:rFonts w:ascii="Calibri" w:cs="Calibri" w:eastAsia="Calibri" w:hAnsi="Calibri"/>
                <w:b w:val="false"/>
                <w:bCs w:val="false"/>
                <w:color w:val="000000"/>
                <w:sz w:val="20"/>
                <w:szCs w:val="20"/>
              </w:rPr>
              <w:t xml:space="preserve">Up</w:t>
            </w:r>
          </w:p>
        </w:tc>
      </w:tr>
    </w:tbl>
    <w:p>
      <w:pPr>
        <w:spacing w:after="0" w:before="120"/>
      </w:pPr>
    </w:p>
    <w:p>
      <w:pPr>
        <w:spacing w:after="80" w:before="80" w:line="276" w:lineRule="auto"/>
        <w:jc w:val="both"/>
      </w:pPr>
      <w:r>
        <w:rPr>
          <w:rFonts w:ascii="Calibri" w:cs="Calibri" w:eastAsia="Calibri" w:hAnsi="Calibri"/>
          <w:b w:val="false"/>
          <w:bCs w:val="false"/>
          <w:color w:val="000000"/>
          <w:sz w:val="22"/>
          <w:szCs w:val="22"/>
        </w:rPr>
        <w:t xml:space="preserve">All four genes are consistently up-regulated in TCGA COAD tumor relative to both NAT and GTEx normal colon tissue, with log₂FC ranging from 4.8 to 7.1 vs. NAT and 6.0 to 6.9 vs. GTEx All.</w:t>
      </w:r>
    </w:p>
    <w:p>
      <w:pPr>
        <w:pStyle w:val="Heading2"/>
        <w:spacing w:after="80" w:before="240"/>
      </w:pPr>
      <w:r>
        <w:rPr>
          <w:rFonts w:ascii="Calibri" w:cs="Calibri" w:eastAsia="Calibri" w:hAnsi="Calibri"/>
          <w:b/>
          <w:bCs/>
          <w:color w:val="2C3E50"/>
          <w:sz w:val="24"/>
          <w:szCs w:val="24"/>
        </w:rPr>
        <w:t xml:space="preserve">3.6 Artifact Identification and Exclusion</w:t>
      </w:r>
    </w:p>
    <w:p>
      <w:pPr>
        <w:spacing w:after="80" w:before="80" w:line="276" w:lineRule="auto"/>
        <w:jc w:val="both"/>
      </w:pPr>
      <w:r>
        <w:rPr>
          <w:rFonts w:ascii="Calibri" w:cs="Calibri" w:eastAsia="Calibri" w:hAnsi="Calibri"/>
          <w:b w:val="false"/>
          <w:bCs w:val="false"/>
          <w:color w:val="000000"/>
          <w:sz w:val="22"/>
          <w:szCs w:val="22"/>
        </w:rPr>
        <w:t xml:space="preserve">Critical examination of the two excluded candidates revealed a diagnostic pattern. Both genes exhibited enormous log₂FC values against GTEx (&gt; 9.8) but negligible differences against NAT (&lt; 0.4):</w:t>
      </w:r>
    </w:p>
    <w:p>
      <w:pPr>
        <w:pStyle w:val="ListParagraph"/>
        <w:numPr>
          <w:ilvl w:val="0"/>
          <w:numId w:val="2"/>
        </w:numPr>
        <w:spacing w:after="40" w:before="40" w:line="276" w:lineRule="auto"/>
      </w:pPr>
      <w:r>
        <w:rPr>
          <w:rFonts w:ascii="Calibri" w:cs="Calibri" w:eastAsia="Calibri" w:hAnsi="Calibri"/>
          <w:b/>
          <w:bCs/>
          <w:i w:val="false"/>
          <w:iCs w:val="false"/>
          <w:color w:val="000000"/>
          <w:sz w:val="22"/>
          <w:szCs w:val="22"/>
        </w:rPr>
        <w:t xml:space="preserve">ENSG00000279473: </w:t>
      </w:r>
      <w:r>
        <w:rPr>
          <w:rFonts w:ascii="Calibri" w:cs="Calibri" w:eastAsia="Calibri" w:hAnsi="Calibri"/>
          <w:b w:val="false"/>
          <w:bCs w:val="false"/>
          <w:i w:val="false"/>
          <w:iCs w:val="false"/>
          <w:color w:val="000000"/>
          <w:sz w:val="22"/>
          <w:szCs w:val="22"/>
        </w:rPr>
        <w:t xml:space="preserve">log₂FC vs. NAT = +0.37 (barely significant), log₂FC vs. GTEx = +11.6. Querying the Ensembl REST API returned “ID not found”, confirming this gene ID was retired in current Ensembl releases. Its pattern is consistent with a pipeline-level quantification artifact from an older annotation version.</w:t>
      </w:r>
    </w:p>
    <w:p>
      <w:pPr>
        <w:pStyle w:val="ListParagraph"/>
        <w:numPr>
          <w:ilvl w:val="0"/>
          <w:numId w:val="2"/>
        </w:numPr>
        <w:spacing w:after="40" w:before="40" w:line="276" w:lineRule="auto"/>
      </w:pPr>
      <w:r>
        <w:rPr>
          <w:rFonts w:ascii="Calibri" w:cs="Calibri" w:eastAsia="Calibri" w:hAnsi="Calibri"/>
          <w:b/>
          <w:bCs/>
          <w:i w:val="false"/>
          <w:iCs w:val="false"/>
          <w:color w:val="000000"/>
          <w:sz w:val="22"/>
          <w:szCs w:val="22"/>
        </w:rPr>
        <w:t xml:space="preserve">HMGN1P36 (ENSG00000235734): </w:t>
      </w:r>
      <w:r>
        <w:rPr>
          <w:rFonts w:ascii="Calibri" w:cs="Calibri" w:eastAsia="Calibri" w:hAnsi="Calibri"/>
          <w:b w:val="false"/>
          <w:bCs w:val="false"/>
          <w:i w:val="false"/>
          <w:iCs w:val="false"/>
          <w:color w:val="000000"/>
          <w:sz w:val="22"/>
          <w:szCs w:val="22"/>
        </w:rPr>
        <w:t xml:space="preserve">log₂FC vs. NAT = +0.31, log₂FC vs. GTEx = +9.8. This non-coding pseudogene on chromosome 2q11.2 has no known functional characterization. Its concordance with NAT (both TCGA-derived) but extreme divergence from GTEx strongly implicates incomplete ComBat correction.</w:t>
      </w:r>
    </w:p>
    <w:p>
      <w:pPr>
        <w:spacing w:after="0" w:before="40"/>
      </w:pPr>
    </w:p>
    <w:p>
      <w:pPr>
        <w:spacing w:after="80" w:before="80" w:line="276" w:lineRule="auto"/>
        <w:jc w:val="both"/>
      </w:pPr>
      <w:r>
        <w:rPr>
          <w:rFonts w:ascii="Calibri" w:cs="Calibri" w:eastAsia="Calibri" w:hAnsi="Calibri"/>
          <w:b w:val="false"/>
          <w:bCs w:val="false"/>
          <w:color w:val="000000"/>
          <w:sz w:val="22"/>
          <w:szCs w:val="22"/>
        </w:rPr>
        <w:t xml:space="preserve">This analysis demonstrates that inclusion of an NAT comparison serves as a critical internal sanity check for distinguishing biologically meaningful DEGs from cohort-specific technical artifacts.</w:t>
      </w:r>
    </w:p>
    <w:p>
      <w:pPr>
        <w:pStyle w:val="Heading2"/>
        <w:spacing w:after="80" w:before="240"/>
      </w:pPr>
      <w:r>
        <w:rPr>
          <w:rFonts w:ascii="Calibri" w:cs="Calibri" w:eastAsia="Calibri" w:hAnsi="Calibri"/>
          <w:b/>
          <w:bCs/>
          <w:color w:val="2C3E50"/>
          <w:sz w:val="24"/>
          <w:szCs w:val="24"/>
        </w:rPr>
        <w:t xml:space="preserve">3.7 Pathway Enrichment Analysis</w:t>
      </w:r>
    </w:p>
    <w:p>
      <w:pPr>
        <w:spacing w:after="80" w:before="80" w:line="276" w:lineRule="auto"/>
        <w:jc w:val="both"/>
      </w:pPr>
      <w:r>
        <w:rPr>
          <w:rFonts w:ascii="Calibri" w:cs="Calibri" w:eastAsia="Calibri" w:hAnsi="Calibri"/>
          <w:b w:val="false"/>
          <w:bCs w:val="false"/>
          <w:color w:val="000000"/>
          <w:sz w:val="22"/>
          <w:szCs w:val="22"/>
        </w:rPr>
        <w:t xml:space="preserve">Submitting the four validated gene symbols (</w:t>
      </w:r>
      <w:r>
        <w:rPr>
          <w:rFonts w:ascii="Calibri" w:cs="Calibri" w:eastAsia="Calibri" w:hAnsi="Calibri"/>
          <w:b/>
          <w:bCs/>
          <w:color w:val="2980B9"/>
          <w:sz w:val="22"/>
          <w:szCs w:val="22"/>
        </w:rPr>
        <w:t xml:space="preserve">CDH3</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ETV4</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KRT80</w:t>
      </w:r>
      <w:r>
        <w:rPr>
          <w:rFonts w:ascii="Calibri" w:cs="Calibri" w:eastAsia="Calibri" w:hAnsi="Calibri"/>
          <w:b w:val="false"/>
          <w:bCs w:val="false"/>
          <w:color w:val="000000"/>
          <w:sz w:val="22"/>
          <w:szCs w:val="22"/>
        </w:rPr>
        <w:t xml:space="preserve">) to g:Profiler returned 119 significant terms (FDR &lt; 0.05) across GO, KEGG, and Reactome databases (Figure BIO-1). The most significantly enriched biological processes were:</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Skin and epidermis development (GO:BP, p = 1.82 × 10⁻⁵)</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Epithelial cell differentiation (GO:BP, p = 1.70 × 10⁻⁴)</w:t>
      </w:r>
    </w:p>
    <w:p>
      <w:pPr>
        <w:pStyle w:val="ListParagraph"/>
        <w:numPr>
          <w:ilvl w:val="0"/>
          <w:numId w:val="2"/>
        </w:numPr>
        <w:spacing w:after="40" w:before="40" w:line="276" w:lineRule="auto"/>
      </w:pPr>
      <w:r>
        <w:rPr>
          <w:rFonts w:ascii="Calibri" w:cs="Calibri" w:eastAsia="Calibri" w:hAnsi="Calibri"/>
          <w:b w:val="false"/>
          <w:bCs w:val="false"/>
          <w:i w:val="false"/>
          <w:iCs w:val="false"/>
          <w:color w:val="000000"/>
          <w:sz w:val="22"/>
          <w:szCs w:val="22"/>
        </w:rPr>
        <w:t xml:space="preserve">Keratinocyte differentiation (GO:BP, p = 1.89 × 10⁻⁴)</w:t>
      </w:r>
    </w:p>
    <w:p>
      <w:pPr>
        <w:spacing w:after="0" w:before="40"/>
      </w:pPr>
    </w:p>
    <w:p>
      <w:pPr>
        <w:spacing w:after="80" w:before="80" w:line="276" w:lineRule="auto"/>
        <w:jc w:val="both"/>
      </w:pPr>
      <w:r>
        <w:rPr>
          <w:rFonts w:ascii="Calibri" w:cs="Calibri" w:eastAsia="Calibri" w:hAnsi="Calibri"/>
          <w:b w:val="false"/>
          <w:bCs w:val="false"/>
          <w:color w:val="000000"/>
          <w:sz w:val="22"/>
          <w:szCs w:val="22"/>
        </w:rPr>
        <w:t xml:space="preserve">This functional profile is consistent with the known biology of the identified genes: </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 is a tight junction protein critical to epithelial barrier integrity [11], </w:t>
      </w:r>
      <w:r>
        <w:rPr>
          <w:rFonts w:ascii="Calibri" w:cs="Calibri" w:eastAsia="Calibri" w:hAnsi="Calibri"/>
          <w:b/>
          <w:bCs/>
          <w:color w:val="2980B9"/>
          <w:sz w:val="22"/>
          <w:szCs w:val="22"/>
        </w:rPr>
        <w:t xml:space="preserve">CDH3</w:t>
      </w:r>
      <w:r>
        <w:rPr>
          <w:rFonts w:ascii="Calibri" w:cs="Calibri" w:eastAsia="Calibri" w:hAnsi="Calibri"/>
          <w:b w:val="false"/>
          <w:bCs w:val="false"/>
          <w:color w:val="000000"/>
          <w:sz w:val="22"/>
          <w:szCs w:val="22"/>
        </w:rPr>
        <w:t xml:space="preserve"> mediates cell–cell adhesion in epithelial layers [7], </w:t>
      </w:r>
      <w:r>
        <w:rPr>
          <w:rFonts w:ascii="Calibri" w:cs="Calibri" w:eastAsia="Calibri" w:hAnsi="Calibri"/>
          <w:b/>
          <w:bCs/>
          <w:color w:val="2980B9"/>
          <w:sz w:val="22"/>
          <w:szCs w:val="22"/>
        </w:rPr>
        <w:t xml:space="preserve">KRT80</w:t>
      </w:r>
      <w:r>
        <w:rPr>
          <w:rFonts w:ascii="Calibri" w:cs="Calibri" w:eastAsia="Calibri" w:hAnsi="Calibri"/>
          <w:b w:val="false"/>
          <w:bCs w:val="false"/>
          <w:color w:val="000000"/>
          <w:sz w:val="22"/>
          <w:szCs w:val="22"/>
        </w:rPr>
        <w:t xml:space="preserve"> is a cytoskeletal keratin expressed in intestinal epithelium [14], and </w:t>
      </w:r>
      <w:r>
        <w:rPr>
          <w:rFonts w:ascii="Calibri" w:cs="Calibri" w:eastAsia="Calibri" w:hAnsi="Calibri"/>
          <w:b/>
          <w:bCs/>
          <w:color w:val="2980B9"/>
          <w:sz w:val="22"/>
          <w:szCs w:val="22"/>
        </w:rPr>
        <w:t xml:space="preserve">ETV4</w:t>
      </w:r>
      <w:r>
        <w:rPr>
          <w:rFonts w:ascii="Calibri" w:cs="Calibri" w:eastAsia="Calibri" w:hAnsi="Calibri"/>
          <w:b w:val="false"/>
          <w:bCs w:val="false"/>
          <w:color w:val="000000"/>
          <w:sz w:val="22"/>
          <w:szCs w:val="22"/>
        </w:rPr>
        <w:t xml:space="preserve"> drives epithelial–mesenchymal transition (EMT) in CRC [10].</w:t>
      </w:r>
    </w:p>
    <w:p>
      <w:pPr>
        <w:pStyle w:val="Heading2"/>
        <w:spacing w:after="80" w:before="240"/>
      </w:pPr>
      <w:r>
        <w:rPr>
          <w:rFonts w:ascii="Calibri" w:cs="Calibri" w:eastAsia="Calibri" w:hAnsi="Calibri"/>
          <w:b/>
          <w:bCs/>
          <w:color w:val="2C3E50"/>
          <w:sz w:val="24"/>
          <w:szCs w:val="24"/>
        </w:rPr>
        <w:t xml:space="preserve">3.8 Survival Analysis</w:t>
      </w:r>
    </w:p>
    <w:p>
      <w:pPr>
        <w:spacing w:after="80" w:before="80" w:line="276" w:lineRule="auto"/>
        <w:jc w:val="both"/>
      </w:pPr>
      <w:r>
        <w:rPr>
          <w:rFonts w:ascii="Calibri" w:cs="Calibri" w:eastAsia="Calibri" w:hAnsi="Calibri"/>
          <w:b w:val="false"/>
          <w:bCs w:val="false"/>
          <w:color w:val="000000"/>
          <w:sz w:val="22"/>
          <w:szCs w:val="22"/>
        </w:rPr>
        <w:t xml:space="preserve">Kaplan–Meier analysis using GDC-downloaded OS data (n = 258 matched tumor samples) did not identify statistically significant survival differences for any of the four biomarker genes when patients were split by median expression (all log-rank p &gt; 0.05, Figure BIO-2). This null result is not unexpected: a simple median-split Kaplan–Meier analysis is insensitive. Prior publications demonstrating survival associations for </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 [11] and </w:t>
      </w:r>
      <w:r>
        <w:rPr>
          <w:rFonts w:ascii="Calibri" w:cs="Calibri" w:eastAsia="Calibri" w:hAnsi="Calibri"/>
          <w:b/>
          <w:bCs/>
          <w:color w:val="2980B9"/>
          <w:sz w:val="22"/>
          <w:szCs w:val="22"/>
        </w:rPr>
        <w:t xml:space="preserve">KRT80</w:t>
      </w:r>
      <w:r>
        <w:rPr>
          <w:rFonts w:ascii="Calibri" w:cs="Calibri" w:eastAsia="Calibri" w:hAnsi="Calibri"/>
          <w:b w:val="false"/>
          <w:bCs w:val="false"/>
          <w:color w:val="000000"/>
          <w:sz w:val="22"/>
          <w:szCs w:val="22"/>
        </w:rPr>
        <w:t xml:space="preserve"> [14] employed multivariate Cox proportional hazards regression with clinical covariates, which was beyond the scope of the present analysis.</w:t>
      </w:r>
    </w:p>
    <w:p>
      <w:pPr>
        <w:pStyle w:val="Heading1"/>
        <w:pBdr>
          <w:bottom w:val="single" w:color="2980B9" w:sz="6" w:space="4"/>
        </w:pBdr>
        <w:spacing w:after="120" w:before="320"/>
      </w:pPr>
      <w:r>
        <w:rPr>
          <w:rFonts w:ascii="Calibri" w:cs="Calibri" w:eastAsia="Calibri" w:hAnsi="Calibri"/>
          <w:b/>
          <w:bCs/>
          <w:color w:val="1A252F"/>
          <w:sz w:val="28"/>
          <w:szCs w:val="28"/>
        </w:rPr>
        <w:t xml:space="preserve">4. Discussion</w:t>
      </w:r>
    </w:p>
    <w:p>
      <w:pPr>
        <w:pStyle w:val="Heading2"/>
        <w:spacing w:after="80" w:before="240"/>
      </w:pPr>
      <w:r>
        <w:rPr>
          <w:rFonts w:ascii="Calibri" w:cs="Calibri" w:eastAsia="Calibri" w:hAnsi="Calibri"/>
          <w:b/>
          <w:bCs/>
          <w:color w:val="2C3E50"/>
          <w:sz w:val="24"/>
          <w:szCs w:val="24"/>
        </w:rPr>
        <w:t xml:space="preserve">4.1 Control Group Choice Substantially Alters the Biomarker Landscape</w:t>
      </w:r>
    </w:p>
    <w:p>
      <w:pPr>
        <w:spacing w:after="80" w:before="80" w:line="276" w:lineRule="auto"/>
        <w:jc w:val="both"/>
      </w:pPr>
      <w:r>
        <w:rPr>
          <w:rFonts w:ascii="Calibri" w:cs="Calibri" w:eastAsia="Calibri" w:hAnsi="Calibri"/>
          <w:b w:val="false"/>
          <w:bCs w:val="false"/>
          <w:color w:val="000000"/>
          <w:sz w:val="22"/>
          <w:szCs w:val="22"/>
        </w:rPr>
        <w:t xml:space="preserve">The primary finding of this study is that the choice of normal reference tissue meaningfully changes which genes are identified as differentially expressed in CRC. The NAT comparison identified 11,623 DEGs, while GTEx-based comparisons identified 16,516–19,298 DEGs — a 42–66% increase. Venn diagram analysis showed that a substantial proportion of candidates from the NAT comparison do not appear in any GTEx comparison, and vice versa. This is consistent with prior observations that TCGA NAT in colon cancer occupies an intermediate transcriptomic state due to field cancerization [3, 4], and supports the use of GTEx-derived healthy tissue as a more biologically representative reference.</w:t>
      </w:r>
    </w:p>
    <w:p>
      <w:pPr>
        <w:pStyle w:val="Heading2"/>
        <w:spacing w:after="80" w:before="240"/>
      </w:pPr>
      <w:r>
        <w:rPr>
          <w:rFonts w:ascii="Calibri" w:cs="Calibri" w:eastAsia="Calibri" w:hAnsi="Calibri"/>
          <w:b/>
          <w:bCs/>
          <w:color w:val="2C3E50"/>
          <w:sz w:val="24"/>
          <w:szCs w:val="24"/>
        </w:rPr>
        <w:t xml:space="preserve">4.2 A Stability-Based Filtering Framework Removes Control-Group-Specific Noise</w:t>
      </w:r>
    </w:p>
    <w:p>
      <w:pPr>
        <w:spacing w:after="80" w:before="80" w:line="276" w:lineRule="auto"/>
        <w:jc w:val="both"/>
      </w:pPr>
      <w:r>
        <w:rPr>
          <w:rFonts w:ascii="Calibri" w:cs="Calibri" w:eastAsia="Calibri" w:hAnsi="Calibri"/>
          <w:b w:val="false"/>
          <w:bCs w:val="false"/>
          <w:color w:val="000000"/>
          <w:sz w:val="22"/>
          <w:szCs w:val="22"/>
        </w:rPr>
        <w:t xml:space="preserve">The stability scoring approach introduced here provides an objective, data-driven means to identify biomarkers robust to the definition of “normal.” By requiring consistent selection across ≥3 of 4 control group definitions, we reduced the initial pool of 30 candidate genes to 6 (score ≥ 3), then to 4 after artifact exclusion. This approach is analogous in spirit to cross-dataset validation strategies [6], but applied within a single study by varying the control group rather than using independent patient cohorts.</w:t>
      </w:r>
    </w:p>
    <w:p>
      <w:pPr>
        <w:pStyle w:val="Heading2"/>
        <w:spacing w:after="80" w:before="240"/>
      </w:pPr>
      <w:r>
        <w:rPr>
          <w:rFonts w:ascii="Calibri" w:cs="Calibri" w:eastAsia="Calibri" w:hAnsi="Calibri"/>
          <w:b/>
          <w:bCs/>
          <w:color w:val="2C3E50"/>
          <w:sz w:val="24"/>
          <w:szCs w:val="24"/>
        </w:rPr>
        <w:t xml:space="preserve">4.3 Independent Replication of a Known CRC Biomarker Panel</w:t>
      </w:r>
    </w:p>
    <w:p>
      <w:pPr>
        <w:spacing w:after="80" w:before="80" w:line="276" w:lineRule="auto"/>
        <w:jc w:val="both"/>
      </w:pPr>
      <w:r>
        <w:rPr>
          <w:rFonts w:ascii="Calibri" w:cs="Calibri" w:eastAsia="Calibri" w:hAnsi="Calibri"/>
          <w:b w:val="false"/>
          <w:bCs w:val="false"/>
          <w:color w:val="000000"/>
          <w:sz w:val="22"/>
          <w:szCs w:val="22"/>
        </w:rPr>
        <w:t xml:space="preserve">A particularly striking result is the independent replication of a previously published three-gene CRC classification panel. Guo et al. [6] applied machine learning to multiple public CRC datasets and identified </w:t>
      </w:r>
      <w:r>
        <w:rPr>
          <w:rFonts w:ascii="Calibri" w:cs="Calibri" w:eastAsia="Calibri" w:hAnsi="Calibri"/>
          <w:b/>
          <w:bCs/>
          <w:color w:val="2980B9"/>
          <w:sz w:val="22"/>
          <w:szCs w:val="22"/>
        </w:rPr>
        <w:t xml:space="preserve">CDH3</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ETV4</w:t>
      </w:r>
      <w:r>
        <w:rPr>
          <w:rFonts w:ascii="Calibri" w:cs="Calibri" w:eastAsia="Calibri" w:hAnsi="Calibri"/>
          <w:b w:val="false"/>
          <w:bCs w:val="false"/>
          <w:color w:val="000000"/>
          <w:sz w:val="22"/>
          <w:szCs w:val="22"/>
        </w:rPr>
        <w:t xml:space="preserve">, and </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 as the top three genes capable of classifying CRC from normal tissue using only three features. Our analysis, conducted with a distinct methodology (DEG + LASSO + RF stability framework) on a different data composition (TCGA + GTEx), independently arrived at the same three genes as top biomarker candidates, with </w:t>
      </w:r>
      <w:r>
        <w:rPr>
          <w:rFonts w:ascii="Calibri" w:cs="Calibri" w:eastAsia="Calibri" w:hAnsi="Calibri"/>
          <w:b/>
          <w:bCs/>
          <w:color w:val="2980B9"/>
          <w:sz w:val="22"/>
          <w:szCs w:val="22"/>
        </w:rPr>
        <w:t xml:space="preserve">KRT80</w:t>
      </w:r>
      <w:r>
        <w:rPr>
          <w:rFonts w:ascii="Calibri" w:cs="Calibri" w:eastAsia="Calibri" w:hAnsi="Calibri"/>
          <w:b w:val="false"/>
          <w:bCs w:val="false"/>
          <w:color w:val="000000"/>
          <w:sz w:val="22"/>
          <w:szCs w:val="22"/>
        </w:rPr>
        <w:t xml:space="preserve"> as an additional novel addition.</w:t>
      </w:r>
    </w:p>
    <w:p>
      <w:pPr>
        <w:spacing w:after="80" w:before="80" w:line="276" w:lineRule="auto"/>
        <w:jc w:val="both"/>
      </w:pPr>
      <w:r>
        <w:rPr>
          <w:rFonts w:ascii="Calibri" w:cs="Calibri" w:eastAsia="Calibri" w:hAnsi="Calibri"/>
          <w:b w:val="false"/>
          <w:bCs w:val="false"/>
          <w:color w:val="000000"/>
          <w:sz w:val="22"/>
          <w:szCs w:val="22"/>
        </w:rPr>
        <w:t xml:space="preserve">Each gene has a well-established mechanistic rationale for involvement in CRC:</w:t>
      </w:r>
    </w:p>
    <w:p>
      <w:pPr>
        <w:pStyle w:val="ListParagraph"/>
        <w:numPr>
          <w:ilvl w:val="0"/>
          <w:numId w:val="2"/>
        </w:numPr>
        <w:spacing w:after="40" w:before="40" w:line="276" w:lineRule="auto"/>
      </w:pPr>
      <w:r>
        <w:rPr>
          <w:rFonts w:ascii="Calibri" w:cs="Calibri" w:eastAsia="Calibri" w:hAnsi="Calibri"/>
          <w:b/>
          <w:bCs/>
          <w:color w:val="2980B9"/>
          <w:sz w:val="22"/>
          <w:szCs w:val="22"/>
        </w:rPr>
        <w:t xml:space="preserve">CDH3</w:t>
      </w:r>
      <w:r>
        <w:rPr>
          <w:rFonts w:ascii="Calibri" w:cs="Calibri" w:eastAsia="Calibri" w:hAnsi="Calibri"/>
          <w:b w:val="false"/>
          <w:bCs w:val="false"/>
          <w:i w:val="false"/>
          <w:iCs w:val="false"/>
          <w:color w:val="000000"/>
          <w:sz w:val="22"/>
          <w:szCs w:val="22"/>
        </w:rPr>
        <w:t xml:space="preserve">: P-cadherin mediates homophilic cell adhesion and is aberrantly upregulated in CRC, promoting invasiveness and correlating with poor prognosis [7, 8]. CDH3 has been validated as a serum biomarker with AUC = 0.90 for detecting distant metastasis [8].</w:t>
      </w:r>
    </w:p>
    <w:p>
      <w:pPr>
        <w:pStyle w:val="ListParagraph"/>
        <w:numPr>
          <w:ilvl w:val="0"/>
          <w:numId w:val="2"/>
        </w:numPr>
        <w:spacing w:after="40" w:before="40" w:line="276" w:lineRule="auto"/>
      </w:pPr>
      <w:r>
        <w:rPr>
          <w:rFonts w:ascii="Calibri" w:cs="Calibri" w:eastAsia="Calibri" w:hAnsi="Calibri"/>
          <w:b/>
          <w:bCs/>
          <w:color w:val="2980B9"/>
          <w:sz w:val="22"/>
          <w:szCs w:val="22"/>
        </w:rPr>
        <w:t xml:space="preserve">CLDN1</w:t>
      </w:r>
      <w:r>
        <w:rPr>
          <w:rFonts w:ascii="Calibri" w:cs="Calibri" w:eastAsia="Calibri" w:hAnsi="Calibri"/>
          <w:b w:val="false"/>
          <w:bCs w:val="false"/>
          <w:i w:val="false"/>
          <w:iCs w:val="false"/>
          <w:color w:val="000000"/>
          <w:sz w:val="22"/>
          <w:szCs w:val="22"/>
        </w:rPr>
        <w:t xml:space="preserve">: Claudin-1 overexpression in CRC promotes cancer stem cell properties, EMT, chemoresistance to oxaliplatin, and interaction with the EPHA2 signaling axis [11, 12]. Meta-analyses confirm its prognostic value [11].</w:t>
      </w:r>
    </w:p>
    <w:p>
      <w:pPr>
        <w:pStyle w:val="ListParagraph"/>
        <w:numPr>
          <w:ilvl w:val="0"/>
          <w:numId w:val="2"/>
        </w:numPr>
        <w:spacing w:after="40" w:before="40" w:line="276" w:lineRule="auto"/>
      </w:pPr>
      <w:r>
        <w:rPr>
          <w:rFonts w:ascii="Calibri" w:cs="Calibri" w:eastAsia="Calibri" w:hAnsi="Calibri"/>
          <w:b/>
          <w:bCs/>
          <w:color w:val="2980B9"/>
          <w:sz w:val="22"/>
          <w:szCs w:val="22"/>
        </w:rPr>
        <w:t xml:space="preserve">ETV4</w:t>
      </w:r>
      <w:r>
        <w:rPr>
          <w:rFonts w:ascii="Calibri" w:cs="Calibri" w:eastAsia="Calibri" w:hAnsi="Calibri"/>
          <w:b w:val="false"/>
          <w:bCs w:val="false"/>
          <w:i w:val="false"/>
          <w:iCs w:val="false"/>
          <w:color w:val="000000"/>
          <w:sz w:val="22"/>
          <w:szCs w:val="22"/>
        </w:rPr>
        <w:t xml:space="preserve">: This ETS-family transcription factor is upregulated in colorectal adenocarcinoma relative to adenoma, correlates with lymphovascular invasion and lymph node metastasis, and is an independent predictor of shortened overall survival [10].</w:t>
      </w:r>
    </w:p>
    <w:p>
      <w:pPr>
        <w:pStyle w:val="ListParagraph"/>
        <w:numPr>
          <w:ilvl w:val="0"/>
          <w:numId w:val="2"/>
        </w:numPr>
        <w:spacing w:after="40" w:before="40" w:line="276" w:lineRule="auto"/>
      </w:pPr>
      <w:r>
        <w:rPr>
          <w:rFonts w:ascii="Calibri" w:cs="Calibri" w:eastAsia="Calibri" w:hAnsi="Calibri"/>
          <w:b/>
          <w:bCs/>
          <w:color w:val="2980B9"/>
          <w:sz w:val="22"/>
          <w:szCs w:val="22"/>
        </w:rPr>
        <w:t xml:space="preserve">KRT80</w:t>
      </w:r>
      <w:r>
        <w:rPr>
          <w:rFonts w:ascii="Calibri" w:cs="Calibri" w:eastAsia="Calibri" w:hAnsi="Calibri"/>
          <w:b w:val="false"/>
          <w:bCs w:val="false"/>
          <w:i w:val="false"/>
          <w:iCs w:val="false"/>
          <w:color w:val="000000"/>
          <w:sz w:val="22"/>
          <w:szCs w:val="22"/>
        </w:rPr>
        <w:t xml:space="preserve">: Keratin 80 promotes invasion and migration through interaction with PRKDC and the AKT signaling pathway [14]. siRNA-mediated knockdown suppresses CRC proliferation [15], and high KRT80 expression is an independent adverse prognostic factor.</w:t>
      </w:r>
    </w:p>
    <w:p>
      <w:pPr>
        <w:pStyle w:val="Heading2"/>
        <w:spacing w:after="80" w:before="240"/>
      </w:pPr>
      <w:r>
        <w:rPr>
          <w:rFonts w:ascii="Calibri" w:cs="Calibri" w:eastAsia="Calibri" w:hAnsi="Calibri"/>
          <w:b/>
          <w:bCs/>
          <w:color w:val="2C3E50"/>
          <w:sz w:val="24"/>
          <w:szCs w:val="24"/>
        </w:rPr>
        <w:t xml:space="preserve">4.4 Artifact Detection as a Methodological Contribution</w:t>
      </w:r>
    </w:p>
    <w:p>
      <w:pPr>
        <w:spacing w:after="80" w:before="80" w:line="276" w:lineRule="auto"/>
        <w:jc w:val="both"/>
      </w:pPr>
      <w:r>
        <w:rPr>
          <w:rFonts w:ascii="Calibri" w:cs="Calibri" w:eastAsia="Calibri" w:hAnsi="Calibri"/>
          <w:b w:val="false"/>
          <w:bCs w:val="false"/>
          <w:color w:val="000000"/>
          <w:sz w:val="22"/>
          <w:szCs w:val="22"/>
        </w:rPr>
        <w:t xml:space="preserve">The identification and exclusion of two false-positive candidates (ENSG00000279473 and HMGN1P36) highlights an underappreciated hazard in cross-cohort transcriptomic analyses. Both genes exhibited enormous log₂FC values against GTEx (&gt; 9.8) but negligible differences against NAT (&lt; 0.4). Since both NAT and tumor are TCGA-derived samples processed with identical pipelines, their concordance serves as an effective negative control. We recommend that future cross-cohort biomarker discovery studies routinely include a same-cohort normal reference as an internal control to identify and exclude such artifacts.</w:t>
      </w:r>
    </w:p>
    <w:p>
      <w:pPr>
        <w:pStyle w:val="Heading2"/>
        <w:spacing w:after="80" w:before="240"/>
      </w:pPr>
      <w:r>
        <w:rPr>
          <w:rFonts w:ascii="Calibri" w:cs="Calibri" w:eastAsia="Calibri" w:hAnsi="Calibri"/>
          <w:b/>
          <w:bCs/>
          <w:color w:val="2C3E50"/>
          <w:sz w:val="24"/>
          <w:szCs w:val="24"/>
        </w:rPr>
        <w:t xml:space="preserve">4.5 Limitations</w:t>
      </w:r>
    </w:p>
    <w:p>
      <w:pPr>
        <w:spacing w:after="80" w:before="80" w:line="276" w:lineRule="auto"/>
        <w:jc w:val="both"/>
      </w:pPr>
      <w:r>
        <w:rPr>
          <w:rFonts w:ascii="Calibri" w:cs="Calibri" w:eastAsia="Calibri" w:hAnsi="Calibri"/>
          <w:b w:val="false"/>
          <w:bCs w:val="false"/>
          <w:color w:val="000000"/>
          <w:sz w:val="22"/>
          <w:szCs w:val="22"/>
        </w:rPr>
        <w:t xml:space="preserve">Several limitations should be noted. First, the survival analysis used a simple median-split Kaplan–Meier test without multivariate adjustment for clinical covariates. Second, the small NAT cohort (n = 41) reduces statistical power. Third, while ComBat reduced global batch effects, residual gene-level artifacts were demonstrably present for specific genes. Fourth, the ML analysis used an arbitrary top-500 DEG threshold. Finally, all findings are observational and require wet-laboratory validation before clinical translation.</w:t>
      </w:r>
    </w:p>
    <w:p>
      <w:pPr>
        <w:pStyle w:val="Heading1"/>
        <w:pBdr>
          <w:bottom w:val="single" w:color="2980B9" w:sz="6" w:space="4"/>
        </w:pBdr>
        <w:spacing w:after="120" w:before="320"/>
      </w:pPr>
      <w:r>
        <w:rPr>
          <w:rFonts w:ascii="Calibri" w:cs="Calibri" w:eastAsia="Calibri" w:hAnsi="Calibri"/>
          <w:b/>
          <w:bCs/>
          <w:color w:val="1A252F"/>
          <w:sz w:val="28"/>
          <w:szCs w:val="28"/>
        </w:rPr>
        <w:t xml:space="preserve">5. Conclusion</w:t>
      </w:r>
    </w:p>
    <w:p>
      <w:pPr>
        <w:spacing w:after="80" w:before="80" w:line="276" w:lineRule="auto"/>
        <w:jc w:val="both"/>
      </w:pPr>
      <w:r>
        <w:rPr>
          <w:rFonts w:ascii="Calibri" w:cs="Calibri" w:eastAsia="Calibri" w:hAnsi="Calibri"/>
          <w:b w:val="false"/>
          <w:bCs w:val="false"/>
          <w:color w:val="000000"/>
          <w:sz w:val="22"/>
          <w:szCs w:val="22"/>
        </w:rPr>
        <w:t xml:space="preserve">This study demonstrates that the choice of normal reference tissue — TCGA adjacent normal (NAT) versus GTEx healthy colon tissue — is a critical determinant of which genes are identified as differentially expressed in colorectal cancer and which biomarker candidates emerge from downstream machine learning analysis. GTEx-based comparisons consistently identified a larger and partially distinct set of DEGs compared to NAT, consistent with NAT representing a transcriptionally intermediate, field-cancerized tissue state. A stability-based framework requiring consistent biomarker selection across multiple control group definitions identified four high-confidence candidates — </w:t>
      </w:r>
      <w:r>
        <w:rPr>
          <w:rFonts w:ascii="Calibri" w:cs="Calibri" w:eastAsia="Calibri" w:hAnsi="Calibri"/>
          <w:b/>
          <w:bCs/>
          <w:color w:val="2980B9"/>
          <w:sz w:val="22"/>
          <w:szCs w:val="22"/>
        </w:rPr>
        <w:t xml:space="preserve">CDH3</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 </w:t>
      </w:r>
      <w:r>
        <w:rPr>
          <w:rFonts w:ascii="Calibri" w:cs="Calibri" w:eastAsia="Calibri" w:hAnsi="Calibri"/>
          <w:b/>
          <w:bCs/>
          <w:color w:val="2980B9"/>
          <w:sz w:val="22"/>
          <w:szCs w:val="22"/>
        </w:rPr>
        <w:t xml:space="preserve">ETV4</w:t>
      </w:r>
      <w:r>
        <w:rPr>
          <w:rFonts w:ascii="Calibri" w:cs="Calibri" w:eastAsia="Calibri" w:hAnsi="Calibri"/>
          <w:b w:val="false"/>
          <w:bCs w:val="false"/>
          <w:color w:val="000000"/>
          <w:sz w:val="22"/>
          <w:szCs w:val="22"/>
        </w:rPr>
        <w:t xml:space="preserve">, and </w:t>
      </w:r>
      <w:r>
        <w:rPr>
          <w:rFonts w:ascii="Calibri" w:cs="Calibri" w:eastAsia="Calibri" w:hAnsi="Calibri"/>
          <w:b/>
          <w:bCs/>
          <w:color w:val="2980B9"/>
          <w:sz w:val="22"/>
          <w:szCs w:val="22"/>
        </w:rPr>
        <w:t xml:space="preserve">KRT80</w:t>
      </w:r>
      <w:r>
        <w:rPr>
          <w:rFonts w:ascii="Calibri" w:cs="Calibri" w:eastAsia="Calibri" w:hAnsi="Calibri"/>
          <w:b w:val="false"/>
          <w:bCs w:val="false"/>
          <w:color w:val="000000"/>
          <w:sz w:val="22"/>
          <w:szCs w:val="22"/>
        </w:rPr>
        <w:t xml:space="preserve"> — all of which are upregulated in TCGA COAD tumor, are enriched in epithelial differentiation pathways, and have each been independently validated in prior CRC literature. Notably, the </w:t>
      </w:r>
      <w:r>
        <w:rPr>
          <w:rFonts w:ascii="Calibri" w:cs="Calibri" w:eastAsia="Calibri" w:hAnsi="Calibri"/>
          <w:b/>
          <w:bCs/>
          <w:color w:val="2980B9"/>
          <w:sz w:val="22"/>
          <w:szCs w:val="22"/>
        </w:rPr>
        <w:t xml:space="preserve">CDH3</w:t>
      </w:r>
      <w:r>
        <w:rPr>
          <w:rFonts w:ascii="Calibri" w:cs="Calibri" w:eastAsia="Calibri" w:hAnsi="Calibri"/>
          <w:b w:val="false"/>
          <w:bCs w:val="false"/>
          <w:color w:val="000000"/>
          <w:sz w:val="22"/>
          <w:szCs w:val="22"/>
        </w:rPr>
        <w:t xml:space="preserve">–</w:t>
      </w:r>
      <w:r>
        <w:rPr>
          <w:rFonts w:ascii="Calibri" w:cs="Calibri" w:eastAsia="Calibri" w:hAnsi="Calibri"/>
          <w:b/>
          <w:bCs/>
          <w:color w:val="2980B9"/>
          <w:sz w:val="22"/>
          <w:szCs w:val="22"/>
        </w:rPr>
        <w:t xml:space="preserve">CLDN1</w:t>
      </w:r>
      <w:r>
        <w:rPr>
          <w:rFonts w:ascii="Calibri" w:cs="Calibri" w:eastAsia="Calibri" w:hAnsi="Calibri"/>
          <w:b w:val="false"/>
          <w:bCs w:val="false"/>
          <w:color w:val="000000"/>
          <w:sz w:val="22"/>
          <w:szCs w:val="22"/>
        </w:rPr>
        <w:t xml:space="preserve">–</w:t>
      </w:r>
      <w:r>
        <w:rPr>
          <w:rFonts w:ascii="Calibri" w:cs="Calibri" w:eastAsia="Calibri" w:hAnsi="Calibri"/>
          <w:b/>
          <w:bCs/>
          <w:color w:val="2980B9"/>
          <w:sz w:val="22"/>
          <w:szCs w:val="22"/>
        </w:rPr>
        <w:t xml:space="preserve">ETV4</w:t>
      </w:r>
      <w:r>
        <w:rPr>
          <w:rFonts w:ascii="Calibri" w:cs="Calibri" w:eastAsia="Calibri" w:hAnsi="Calibri"/>
          <w:b w:val="false"/>
          <w:bCs w:val="false"/>
          <w:color w:val="000000"/>
          <w:sz w:val="22"/>
          <w:szCs w:val="22"/>
        </w:rPr>
        <w:t xml:space="preserve"> combination was independently replicated from a previously published machine learning-based CRC classification study. Inclusion of an NAT-based comparison as an internal control proved essential for identifying and excluding two batch-effect-driven false-positive candidates. These findings offer both a practical biomarker panel for CRC and a methodological framework for robust, control-group-agnostic biomarker discovery from public transcriptomic repositories.</w:t>
      </w:r>
    </w:p>
    <w:p>
      <w:pPr>
        <w:pStyle w:val="Heading1"/>
        <w:pBdr>
          <w:bottom w:val="single" w:color="2980B9" w:sz="6" w:space="4"/>
        </w:pBdr>
        <w:spacing w:after="120" w:before="320"/>
      </w:pPr>
      <w:r>
        <w:rPr>
          <w:rFonts w:ascii="Calibri" w:cs="Calibri" w:eastAsia="Calibri" w:hAnsi="Calibri"/>
          <w:b/>
          <w:bCs/>
          <w:color w:val="1A252F"/>
          <w:sz w:val="28"/>
          <w:szCs w:val="28"/>
        </w:rPr>
        <w:t xml:space="preserve">References</w:t>
      </w:r>
    </w:p>
    <w:p>
      <w:pPr>
        <w:pStyle w:val="ListParagraph"/>
        <w:numPr>
          <w:ilvl w:val="0"/>
          <w:numId w:val="3"/>
        </w:numPr>
        <w:spacing w:after="40" w:before="40" w:line="260" w:lineRule="auto"/>
      </w:pPr>
      <w:r>
        <w:rPr>
          <w:rFonts w:ascii="Calibri" w:cs="Calibri" w:eastAsia="Calibri" w:hAnsi="Calibri"/>
          <w:color w:val="555555"/>
          <w:sz w:val="20"/>
          <w:szCs w:val="20"/>
        </w:rPr>
        <w:t xml:space="preserve">Sung H, Ferlay J, Siegel RL, et al. Global Cancer Statistics 2020: GLOBOCAN Estimates of Incidence and Mortality Worldwide for 36 Cancers in 185 Countries. CA Cancer J Clin. 2021;71(3):209–249.</w:t>
      </w:r>
    </w:p>
    <w:p>
      <w:pPr>
        <w:pStyle w:val="ListParagraph"/>
        <w:numPr>
          <w:ilvl w:val="0"/>
          <w:numId w:val="3"/>
        </w:numPr>
        <w:spacing w:after="40" w:before="40" w:line="260" w:lineRule="auto"/>
      </w:pPr>
      <w:r>
        <w:rPr>
          <w:rFonts w:ascii="Calibri" w:cs="Calibri" w:eastAsia="Calibri" w:hAnsi="Calibri"/>
          <w:color w:val="555555"/>
          <w:sz w:val="20"/>
          <w:szCs w:val="20"/>
        </w:rPr>
        <w:t xml:space="preserve">Siegel RL, Miller KD, Jemal A. Cancer statistics, 2020. CA Cancer J Clin. 2020;70(1):7–30.</w:t>
      </w:r>
    </w:p>
    <w:p>
      <w:pPr>
        <w:pStyle w:val="ListParagraph"/>
        <w:numPr>
          <w:ilvl w:val="0"/>
          <w:numId w:val="3"/>
        </w:numPr>
        <w:spacing w:after="40" w:before="40" w:line="260" w:lineRule="auto"/>
      </w:pPr>
      <w:r>
        <w:rPr>
          <w:rFonts w:ascii="Calibri" w:cs="Calibri" w:eastAsia="Calibri" w:hAnsi="Calibri"/>
          <w:color w:val="555555"/>
          <w:sz w:val="20"/>
          <w:szCs w:val="20"/>
        </w:rPr>
        <w:t xml:space="preserve">Network analysis of TCGA and GTEx gene expression datasets for identification of trait-associated biomarkers in human cancer. PMC8841814.</w:t>
      </w:r>
    </w:p>
    <w:p>
      <w:pPr>
        <w:pStyle w:val="ListParagraph"/>
        <w:numPr>
          <w:ilvl w:val="0"/>
          <w:numId w:val="3"/>
        </w:numPr>
        <w:spacing w:after="40" w:before="40" w:line="260" w:lineRule="auto"/>
      </w:pPr>
      <w:r>
        <w:rPr>
          <w:rFonts w:ascii="Calibri" w:cs="Calibri" w:eastAsia="Calibri" w:hAnsi="Calibri"/>
          <w:color w:val="555555"/>
          <w:sz w:val="20"/>
          <w:szCs w:val="20"/>
        </w:rPr>
        <w:t xml:space="preserve">Selecting precise reference normal tissue samples for cancer research using a deep learning approach. PMC6357350.</w:t>
      </w:r>
    </w:p>
    <w:p>
      <w:pPr>
        <w:pStyle w:val="ListParagraph"/>
        <w:numPr>
          <w:ilvl w:val="0"/>
          <w:numId w:val="3"/>
        </w:numPr>
        <w:spacing w:after="40" w:before="40" w:line="260" w:lineRule="auto"/>
      </w:pPr>
      <w:r>
        <w:rPr>
          <w:rFonts w:ascii="Calibri" w:cs="Calibri" w:eastAsia="Calibri" w:hAnsi="Calibri"/>
          <w:color w:val="555555"/>
          <w:sz w:val="20"/>
          <w:szCs w:val="20"/>
        </w:rPr>
        <w:t xml:space="preserve">Fortin JP, Cullen N, Sheline YI, et al. Harmonization of cortical thickness measurements across scanners and sites. Neuroimage. 2018;167:104–120. [neuroCombat]</w:t>
      </w:r>
    </w:p>
    <w:p>
      <w:pPr>
        <w:pStyle w:val="ListParagraph"/>
        <w:numPr>
          <w:ilvl w:val="0"/>
          <w:numId w:val="3"/>
        </w:numPr>
        <w:spacing w:after="40" w:before="40" w:line="260" w:lineRule="auto"/>
      </w:pPr>
      <w:r>
        <w:rPr>
          <w:rFonts w:ascii="Calibri" w:cs="Calibri" w:eastAsia="Calibri" w:hAnsi="Calibri"/>
          <w:color w:val="555555"/>
          <w:sz w:val="20"/>
          <w:szCs w:val="20"/>
        </w:rPr>
        <w:t xml:space="preserve">Guo J, Liu Z, Gong R. Machine Learning-Based Identification of Colon Cancer Candidate Diagnostic Genes. Front Genet. 2022;13:836097. PMC8944988.</w:t>
      </w:r>
    </w:p>
    <w:p>
      <w:pPr>
        <w:pStyle w:val="ListParagraph"/>
        <w:numPr>
          <w:ilvl w:val="0"/>
          <w:numId w:val="3"/>
        </w:numPr>
        <w:spacing w:after="40" w:before="40" w:line="260" w:lineRule="auto"/>
      </w:pPr>
      <w:r>
        <w:rPr>
          <w:rFonts w:ascii="Calibri" w:cs="Calibri" w:eastAsia="Calibri" w:hAnsi="Calibri"/>
          <w:color w:val="555555"/>
          <w:sz w:val="20"/>
          <w:szCs w:val="20"/>
        </w:rPr>
        <w:t xml:space="preserve">Paredes J, Figueiredo J, Albergaria A, et al. Epithelial E- and P-cadherins: role and clinical significance in cancer. Biochim Biophys Acta. 2012;1826(2):297–311.</w:t>
      </w:r>
    </w:p>
    <w:p>
      <w:pPr>
        <w:pStyle w:val="ListParagraph"/>
        <w:numPr>
          <w:ilvl w:val="0"/>
          <w:numId w:val="3"/>
        </w:numPr>
        <w:spacing w:after="40" w:before="40" w:line="260" w:lineRule="auto"/>
      </w:pPr>
      <w:r>
        <w:rPr>
          <w:rFonts w:ascii="Calibri" w:cs="Calibri" w:eastAsia="Calibri" w:hAnsi="Calibri"/>
          <w:color w:val="555555"/>
          <w:sz w:val="20"/>
          <w:szCs w:val="20"/>
        </w:rPr>
        <w:t xml:space="preserve">Yao Q, Ni Y, Xu Y, et al. CDH3 Is an Effective Serum Biomarker of Colorectal Cancer Distant Metastasis Patients. Front Oncol. 2024. PMC11375550.</w:t>
      </w:r>
    </w:p>
    <w:p>
      <w:pPr>
        <w:pStyle w:val="ListParagraph"/>
        <w:numPr>
          <w:ilvl w:val="0"/>
          <w:numId w:val="3"/>
        </w:numPr>
        <w:spacing w:after="40" w:before="40" w:line="260" w:lineRule="auto"/>
      </w:pPr>
      <w:r>
        <w:rPr>
          <w:rFonts w:ascii="Calibri" w:cs="Calibri" w:eastAsia="Calibri" w:hAnsi="Calibri"/>
          <w:color w:val="555555"/>
          <w:sz w:val="20"/>
          <w:szCs w:val="20"/>
        </w:rPr>
        <w:t xml:space="preserve">Mao Z, Xiao C, Wang Y, Zhang Y. P-Cadherin (CDH3) is overexpressed in colorectal tumors and has potential as a serum marker for colorectal cancer monitoring. Oncol Lett. 2017;14(6):7008–7014. PMC5672898.</w:t>
      </w:r>
    </w:p>
    <w:p>
      <w:pPr>
        <w:pStyle w:val="ListParagraph"/>
        <w:numPr>
          <w:ilvl w:val="0"/>
          <w:numId w:val="3"/>
        </w:numPr>
        <w:spacing w:after="40" w:before="40" w:line="260" w:lineRule="auto"/>
      </w:pPr>
      <w:r>
        <w:rPr>
          <w:rFonts w:ascii="Calibri" w:cs="Calibri" w:eastAsia="Calibri" w:hAnsi="Calibri"/>
          <w:color w:val="555555"/>
          <w:sz w:val="20"/>
          <w:szCs w:val="20"/>
        </w:rPr>
        <w:t xml:space="preserve">de la Chapelle A, et al. ETV4 plays a role on the primary events during the adenoma–adenocarcinoma progression in colorectal cancer. Cancers. 2021;13(4):891. PMC7919324.</w:t>
      </w:r>
    </w:p>
    <w:p>
      <w:pPr>
        <w:pStyle w:val="ListParagraph"/>
        <w:numPr>
          <w:ilvl w:val="0"/>
          <w:numId w:val="3"/>
        </w:numPr>
        <w:spacing w:after="40" w:before="40" w:line="260" w:lineRule="auto"/>
      </w:pPr>
      <w:r>
        <w:rPr>
          <w:rFonts w:ascii="Calibri" w:cs="Calibri" w:eastAsia="Calibri" w:hAnsi="Calibri"/>
          <w:color w:val="555555"/>
          <w:sz w:val="20"/>
          <w:szCs w:val="20"/>
        </w:rPr>
        <w:t xml:space="preserve">Zhu Y, Gu L, Lin X, et al. Claudin-1 Is a Valuable Prognostic Biomarker in Colorectal Cancer: A Meta-Analysis. Dis Markers. 2020;2020:9045424. PMC7443231.</w:t>
      </w:r>
    </w:p>
    <w:p>
      <w:pPr>
        <w:pStyle w:val="ListParagraph"/>
        <w:numPr>
          <w:ilvl w:val="0"/>
          <w:numId w:val="3"/>
        </w:numPr>
        <w:spacing w:after="40" w:before="40" w:line="260" w:lineRule="auto"/>
      </w:pPr>
      <w:r>
        <w:rPr>
          <w:rFonts w:ascii="Calibri" w:cs="Calibri" w:eastAsia="Calibri" w:hAnsi="Calibri"/>
          <w:color w:val="555555"/>
          <w:sz w:val="20"/>
          <w:szCs w:val="20"/>
        </w:rPr>
        <w:t xml:space="preserve">Tabaries S, et al. Claudin-1 Interacts with EPHA2 to Promote Cancer Stemness and Chemoresistance in Colorectal Cancer. Mol Cancer Res. 2024. PMC10765961.</w:t>
      </w:r>
    </w:p>
    <w:p>
      <w:pPr>
        <w:pStyle w:val="ListParagraph"/>
        <w:numPr>
          <w:ilvl w:val="0"/>
          <w:numId w:val="3"/>
        </w:numPr>
        <w:spacing w:after="40" w:before="40" w:line="260" w:lineRule="auto"/>
      </w:pPr>
      <w:r>
        <w:rPr>
          <w:rFonts w:ascii="Calibri" w:cs="Calibri" w:eastAsia="Calibri" w:hAnsi="Calibri"/>
          <w:color w:val="555555"/>
          <w:sz w:val="20"/>
          <w:szCs w:val="20"/>
        </w:rPr>
        <w:t xml:space="preserve">Durgan J, et al. Improving the response to oxaliplatin by targeting chemotherapy-induced CLDN1 in resistant metastatic colorectal cancer cells. Mol Ther Oncolytics. 2023. PMC10091849.</w:t>
      </w:r>
    </w:p>
    <w:p>
      <w:pPr>
        <w:pStyle w:val="ListParagraph"/>
        <w:numPr>
          <w:ilvl w:val="0"/>
          <w:numId w:val="3"/>
        </w:numPr>
        <w:spacing w:after="40" w:before="40" w:line="260" w:lineRule="auto"/>
      </w:pPr>
      <w:r>
        <w:rPr>
          <w:rFonts w:ascii="Calibri" w:cs="Calibri" w:eastAsia="Calibri" w:hAnsi="Calibri"/>
          <w:color w:val="555555"/>
          <w:sz w:val="20"/>
          <w:szCs w:val="20"/>
        </w:rPr>
        <w:t xml:space="preserve">Kang M, Jiang B, Xu B, et al. Keratin 80 promotes migration and invasion of colorectal carcinoma by interacting with PRKDC via activating the AKT pathway. Cell Death Dis. 2018;9(10):984. PMC6160410.</w:t>
      </w:r>
    </w:p>
    <w:p>
      <w:pPr>
        <w:pStyle w:val="ListParagraph"/>
        <w:numPr>
          <w:ilvl w:val="0"/>
          <w:numId w:val="3"/>
        </w:numPr>
        <w:spacing w:after="40" w:before="40" w:line="260" w:lineRule="auto"/>
      </w:pPr>
      <w:r>
        <w:rPr>
          <w:rFonts w:ascii="Calibri" w:cs="Calibri" w:eastAsia="Calibri" w:hAnsi="Calibri"/>
          <w:color w:val="555555"/>
          <w:sz w:val="20"/>
          <w:szCs w:val="20"/>
        </w:rPr>
        <w:t xml:space="preserve">Zhou X, Li T, Chen Y, et al. Small interfering RNA-mediated knockdown of KRT80 suppresses colorectal cancer proliferation. Oncol Lett. 2020;20(5):234. PMC7579811.</w:t>
      </w:r>
    </w:p>
    <w:p>
      <w:pPr>
        <w:pStyle w:val="ListParagraph"/>
        <w:numPr>
          <w:ilvl w:val="0"/>
          <w:numId w:val="3"/>
        </w:numPr>
        <w:spacing w:after="40" w:before="40" w:line="260" w:lineRule="auto"/>
      </w:pPr>
      <w:r>
        <w:rPr>
          <w:rFonts w:ascii="Calibri" w:cs="Calibri" w:eastAsia="Calibri" w:hAnsi="Calibri"/>
          <w:color w:val="555555"/>
          <w:sz w:val="20"/>
          <w:szCs w:val="20"/>
        </w:rPr>
        <w:t xml:space="preserve">Zhang W, Chai W, Li Z, et al. Phosphorylation of ETV4 at Ser73 by ERK kinase could block ETV4 ubiquitination degradation in colorectal cancer. Oncotarget. 2017;8(27):44501–44511.</w:t>
      </w:r>
    </w:p>
    <w:p>
      <w:pPr>
        <w:pStyle w:val="ListParagraph"/>
        <w:numPr>
          <w:ilvl w:val="0"/>
          <w:numId w:val="3"/>
        </w:numPr>
        <w:spacing w:after="40" w:before="40" w:line="260" w:lineRule="auto"/>
      </w:pPr>
      <w:r>
        <w:rPr>
          <w:rFonts w:ascii="Calibri" w:cs="Calibri" w:eastAsia="Calibri" w:hAnsi="Calibri"/>
          <w:color w:val="555555"/>
          <w:sz w:val="20"/>
          <w:szCs w:val="20"/>
        </w:rPr>
        <w:t xml:space="preserve">Johnson WE, Li C, Rabinovic A. Adjusting batch effects in microarray expression data using empirical Bayes methods. Biostatistics. 2007;8(1):118–127. [Original ComBat paper]</w:t>
      </w:r>
    </w:p>
    <w:p>
      <w:pPr>
        <w:pStyle w:val="ListParagraph"/>
        <w:numPr>
          <w:ilvl w:val="0"/>
          <w:numId w:val="3"/>
        </w:numPr>
        <w:spacing w:after="40" w:before="40" w:line="260" w:lineRule="auto"/>
      </w:pPr>
      <w:r>
        <w:rPr>
          <w:rFonts w:ascii="Calibri" w:cs="Calibri" w:eastAsia="Calibri" w:hAnsi="Calibri"/>
          <w:color w:val="555555"/>
          <w:sz w:val="20"/>
          <w:szCs w:val="20"/>
        </w:rPr>
        <w:t xml:space="preserve">Tibshirani R. Regression shrinkage and selection via the lasso. J R Stat Soc Series B. 1996;58(1):267–288.</w:t>
      </w:r>
    </w:p>
    <w:p>
      <w:pPr>
        <w:pStyle w:val="ListParagraph"/>
        <w:numPr>
          <w:ilvl w:val="0"/>
          <w:numId w:val="3"/>
        </w:numPr>
        <w:spacing w:after="40" w:before="40" w:line="260" w:lineRule="auto"/>
      </w:pPr>
      <w:r>
        <w:rPr>
          <w:rFonts w:ascii="Calibri" w:cs="Calibri" w:eastAsia="Calibri" w:hAnsi="Calibri"/>
          <w:color w:val="555555"/>
          <w:sz w:val="20"/>
          <w:szCs w:val="20"/>
        </w:rPr>
        <w:t xml:space="preserve">Breiman L. Random forests. Mach Learn. 2001;45(1):5–32.</w:t>
      </w:r>
    </w:p>
    <w:p>
      <w:pPr>
        <w:pStyle w:val="ListParagraph"/>
        <w:numPr>
          <w:ilvl w:val="0"/>
          <w:numId w:val="3"/>
        </w:numPr>
        <w:spacing w:after="40" w:before="40" w:line="260" w:lineRule="auto"/>
      </w:pPr>
      <w:r>
        <w:rPr>
          <w:rFonts w:ascii="Calibri" w:cs="Calibri" w:eastAsia="Calibri" w:hAnsi="Calibri"/>
          <w:color w:val="555555"/>
          <w:sz w:val="20"/>
          <w:szCs w:val="20"/>
        </w:rPr>
        <w:t xml:space="preserve">Benjamini Y, Hochberg Y. Controlling the false discovery rate: a practical and powerful approach to multiple testing. J R Stat Soc Series B. 1995;57(1):289–300.</w:t>
      </w:r>
    </w:p>
    <w:p>
      <w:pPr>
        <w:pBdr>
          <w:bottom w:val="single" w:color="CCCCCC" w:sz="4" w:space="1"/>
        </w:pBdr>
        <w:spacing w:after="120" w:before="120"/>
      </w:pPr>
    </w:p>
    <w:p>
      <w:pPr>
        <w:spacing w:after="80" w:before="80" w:line="276" w:lineRule="auto"/>
        <w:jc w:val="center"/>
      </w:pPr>
      <w:r>
        <w:rPr>
          <w:rFonts w:ascii="Calibri" w:cs="Calibri" w:eastAsia="Calibri" w:hAnsi="Calibri"/>
          <w:b w:val="false"/>
          <w:bCs w:val="false"/>
          <w:i/>
          <w:iCs/>
          <w:color w:val="555555"/>
          <w:sz w:val="20"/>
          <w:szCs w:val="20"/>
        </w:rPr>
        <w:t xml:space="preserve">Correspondence: [Author email]  |  </w:t>
      </w:r>
      <w:r>
        <w:rPr>
          <w:rFonts w:ascii="Calibri" w:cs="Calibri" w:eastAsia="Calibri" w:hAnsi="Calibri"/>
          <w:b w:val="false"/>
          <w:bCs w:val="false"/>
          <w:i/>
          <w:iCs/>
          <w:color w:val="555555"/>
          <w:sz w:val="20"/>
          <w:szCs w:val="20"/>
        </w:rPr>
        <w:t xml:space="preserve">Data availability: All scripts available in the project repository.  |  </w:t>
      </w:r>
      <w:r>
        <w:rPr>
          <w:rFonts w:ascii="Calibri" w:cs="Calibri" w:eastAsia="Calibri" w:hAnsi="Calibri"/>
          <w:b w:val="false"/>
          <w:bCs w:val="false"/>
          <w:i/>
          <w:iCs/>
          <w:color w:val="555555"/>
          <w:sz w:val="20"/>
          <w:szCs w:val="20"/>
        </w:rPr>
        <w:t xml:space="preserve">Conflict of interest: None declared.</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555555"/>
        <w:sz w:val="20"/>
        <w:szCs w:val="20"/>
      </w:rPr>
      <w:t xml:space="preserve">Page </w:t>
    </w:r>
    <w:r>
      <w:rPr>
        <w:rFonts w:ascii="Calibri" w:cs="Calibri" w:eastAsia="Calibri" w:hAnsi="Calibri"/>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55555"/>
        <w:sz w:val="20"/>
        <w:szCs w:val="20"/>
      </w:rPr>
      <w:t xml:space="preserve">Control Group Selection &amp; CRC Biomarker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A252F"/>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2026-06-03T07:00:29.840Z</dcterms:created>
  <dcterms:modified xsi:type="dcterms:W3CDTF">2026-06-03T07:00:29.844Z</dcterms:modified>
</cp:coreProperties>
</file>

<file path=docProps/custom.xml><?xml version="1.0" encoding="utf-8"?>
<Properties xmlns="http://schemas.openxmlformats.org/officeDocument/2006/custom-properties" xmlns:vt="http://schemas.openxmlformats.org/officeDocument/2006/docPropsVTypes"/>
</file>