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基于ARC42规范的架构文档模板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文档信息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项目名称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[填写项目全称]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文档版本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v[X].[Y].[Z]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文档状态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□ 草稿 □ 评审中 □ 已发布</w:t>
            </w:r>
            <w:r>
              <w:rPr>
                <w:rFonts w:eastAsia="等线" w:ascii="Arial" w:cs="Arial" w:hAnsi="Arial"/>
                <w:sz w:val="22"/>
              </w:rPr>
              <w:t xml:space="preserve"> □ 已归档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编制日期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YYYY-MM-DD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编制人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[姓名]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审批人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[姓名]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适用范围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[例如：项目全生命周期、架构评审</w:t>
            </w:r>
            <w:r>
              <w:rPr>
                <w:rFonts w:eastAsia="等线" w:ascii="Arial" w:cs="Arial" w:hAnsi="Arial"/>
                <w:sz w:val="22"/>
              </w:rPr>
              <w:t>、开发交付等]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更新记录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版本号 | 更新日期 | 更新人 | 更新说明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1. 引言与目标（Introduction &amp; Goals）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1.1 文档目的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说明本文档的核心用途，例如：描述[项目名称]的系统架构设计，为开发团队提供技术指导、为架构评审提供依据、为后续系统扩展和维护提供参考等。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1.2 目标受众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列出本文档的核心阅读人群，例如：架构师、开发工程师、测试工程师、产品经理、项目管理人员、运维工程师、客户技术负责人等。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1.3 系统概述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简要描述系统的核心功能、业务价值、应用场景及定位，说明系统要解决的核心业务问题。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>1.4 文档约定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明确文档中使用的术语、缩写、符号、图表规范等，例如：</w:t>
        <w:br/>
        <w:t>- 术语定义：[列出关键术语及对应解释]</w:t>
        <w:br/>
        <w:t>- 缩写说明：[如API：应用程序编程接口，RPC：远程过程调用等]</w:t>
        <w:br/>
      </w:r>
      <w:r>
        <w:rPr>
          <w:rFonts w:eastAsia="等线" w:ascii="Arial" w:cs="Arial" w:hAnsi="Arial"/>
          <w:sz w:val="22"/>
        </w:rPr>
        <w:t>- 图表规范：架构图使用[工具名称，如DrawIO、Visio]绘制，遵循[具体规范，如C4模型]等。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" w:id="5"/>
      <w:r>
        <w:rPr>
          <w:rFonts w:eastAsia="等线" w:ascii="Arial" w:cs="Arial" w:hAnsi="Arial"/>
          <w:b w:val="true"/>
          <w:sz w:val="36"/>
        </w:rPr>
        <w:t>2. 系统上下文与范围（System Context &amp; Scope）</w:t>
      </w:r>
      <w:bookmarkEnd w:id="5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</w:rPr>
        <w:t>2.1 系统边界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明确系统的核心功能范围（包含哪些功能）和非功能范围（不包含哪些功能），避免范围蔓延。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2.2 外部依赖与交互方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列出系统需要交互的外部实体（外部系统、第三方服务、用户、硬件设备等），说明各交互方的角色和交互目的。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2.3 系统上下文图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绘制系统上下文图，清晰展示系统与外部实体的边界和交互关系。图表需包含：系统核心节点、外部交互方节点、交互链路及交互协议/方式。</w:t>
        <w:br/>
      </w:r>
      <w:r>
        <w:rPr>
          <w:rFonts w:eastAsia="等线" w:ascii="Arial" w:cs="Arial" w:hAnsi="Arial"/>
          <w:sz w:val="22"/>
        </w:rPr>
        <w:t>[此处插入系统上下文图，标注图号和图注，如：图2-1 系统上下文图]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b w:val="true"/>
          <w:sz w:val="36"/>
        </w:rPr>
        <w:t>3. 架构约束与原则（Constraints &amp; Principles）</w:t>
      </w:r>
      <w:bookmarkEnd w:id="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3.1 架构约束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列出限制架构设计的硬性条件，不可妥协，主要包括：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业务约束：如必须兼容现有业务流程、满足特定行业监管要求（如金融行业的合规要求、医疗行业的隐私保护要求等）；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技术约束：如指定技术栈（如后端使用Java/Spring Boot、前端使用Vue.js、数据库使用MySQL等）、必须基于现有系统进行扩展、需支持特定部署环境（如私有化部署、云部署）等；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环境约束：如部署环境的硬件配置限制、网络环境限制（如内网部署、需访问公网服务）等；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时间/资源约束：如项目交付时间节点、开发团队规模限制等。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3.2 架构原则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定义指导架构设计的核心原则（可妥协，用于统一设计思想），例如：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高内聚低耦合：模块内部功能紧密相关，模块间依赖最小化；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可扩展性：架构设计需支持业务规模增长和功能扩展，便于后续迭代；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可靠性：核心业务链路需具备容错能力，避免单点故障；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安全性：严格保障用户数据安全和系统访问安全；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可维护性：代码结构清晰、文档完整，便于后续维护和问题排查。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4. 核心功能需求与质量属性（Key Functional Requirements &amp; Quality Attributes）</w:t>
      </w:r>
      <w:bookmarkEnd w:id="1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4.1 核心功能需求概述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简要列出系统的核心功能模块及核心业务流程，无需展开详细需求（详细需求参考产品需求文档）。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4.2 质量属性需求（NFR）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明确系统的关键质量属性目标，需可量化、可验证，主要包括：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性能：如接口响应时间（核心接口≤500ms）、并发量（支持XX用户同时在线，峰值QPS≥XX）、吞吐量（每日处理XX条数据）等；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可用性：如系统可用性≥99.9%（核心业务链路≥99.99%）、故障恢复时间（RTO≤XX分钟）、数据恢复点（RPO≤XX分钟）等；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安全性：如支持数据加密（传输加密、存储加密）、访问权限控制（基于角色的权限管理RBAC）、防SQL注入/XSS攻击等；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可扩展性：如支持XX用户规模增长（未来1-3年）、新增功能模块时对现有系统影响最小化；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可移植性：如支持在不同云平台（阿里云、腾讯云）部署、兼容XX版本的操作系统等；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易用性：如前端操作流程简洁，核心功能操作步骤≤XX步等。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5" w:id="15"/>
      <w:r>
        <w:rPr>
          <w:rFonts w:eastAsia="等线" w:ascii="Arial" w:cs="Arial" w:hAnsi="Arial"/>
          <w:b w:val="true"/>
          <w:sz w:val="36"/>
        </w:rPr>
        <w:t>5. 架构视图与核心设计（Architecture Views &amp; Key Design）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本章节采用多视图方式描述架构，覆盖从整体到细节的设计层次，核心包括逻辑视图、物理视图、组件视图等。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5.1 逻辑架构视图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描述系统的逻辑分层、核心模块及模块间的逻辑关系，明确各层/模块的职责。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5.1.1 逻辑分层设计</w:t>
        <w:br/>
      </w:r>
      <w:r>
        <w:rPr>
          <w:rFonts w:eastAsia="等线" w:ascii="Arial" w:cs="Arial" w:hAnsi="Arial"/>
          <w:sz w:val="22"/>
        </w:rPr>
        <w:t>[例如：展示分层结构，如接入层、应用层、业务服务层、数据访问层、数据存储层等，说明各层的核心职责]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5.1.2 逻辑架构图</w:t>
        <w:br/>
      </w:r>
      <w:r>
        <w:rPr>
          <w:rFonts w:eastAsia="等线" w:ascii="Arial" w:cs="Arial" w:hAnsi="Arial"/>
          <w:sz w:val="22"/>
        </w:rPr>
        <w:t>[插入逻辑架构图，标注图号和图注，如：图5-1 逻辑架构图，清晰展示各层、核心模块及模块间的依赖关系]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5.1.3 核心模块说明</w:t>
        <w:br/>
      </w:r>
      <w:r>
        <w:rPr>
          <w:rFonts w:eastAsia="等线" w:ascii="Arial" w:cs="Arial" w:hAnsi="Arial"/>
          <w:sz w:val="22"/>
        </w:rPr>
        <w:t>[列出核心模块，说明每个模块的核心功能、输入输出、关键业务规则，例如：用户模块：负责用户注册、登录、信息管理，输入用户信息，输出用户认证结果等]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5.2 组件架构视图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在逻辑架构的基础上，细化各模块的内部组件设计，说明组件间的交互方式。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5.2.1 核心组件划分</w:t>
        <w:br/>
      </w:r>
      <w:r>
        <w:rPr>
          <w:rFonts w:eastAsia="等线" w:ascii="Arial" w:cs="Arial" w:hAnsi="Arial"/>
          <w:sz w:val="22"/>
        </w:rPr>
        <w:t>[按模块拆分核心组件，说明每个组件的职责、核心接口]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5.2.2 组件交互图</w:t>
        <w:br/>
      </w:r>
      <w:r>
        <w:rPr>
          <w:rFonts w:eastAsia="等线" w:ascii="Arial" w:cs="Arial" w:hAnsi="Arial"/>
          <w:sz w:val="22"/>
        </w:rPr>
        <w:t>[插入核心组件交互图，标注图号和图注，如：图5-2 核心组件交互图，展示组件间的调用关系、交互协议]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5.2.3 关键接口设计</w:t>
        <w:br/>
      </w:r>
      <w:r>
        <w:rPr>
          <w:rFonts w:eastAsia="等线" w:ascii="Arial" w:cs="Arial" w:hAnsi="Arial"/>
          <w:sz w:val="22"/>
        </w:rPr>
        <w:t>[列出核心组件的关键接口，说明接口名称、功能、请求参数、响应参数、调用方式（如RESTful、RPC）、协议类型（如HTTP、TCP）等，可通过表格展示]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5.3 物理架构视图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描述系统的物理部署拓扑，展示硬件设备、软件实例、网络拓扑及它们之间的连接关系。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5.3.1 部署环境说明</w:t>
        <w:br/>
      </w:r>
      <w:r>
        <w:rPr>
          <w:rFonts w:eastAsia="等线" w:ascii="Arial" w:cs="Arial" w:hAnsi="Arial"/>
          <w:sz w:val="22"/>
        </w:rPr>
        <w:t>[说明部署环境类型，如开发环境、测试环境、预生产环境、生产环境，各环境的硬件配置、网络环境等]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5.3.2 物理部署拓扑图</w:t>
        <w:br/>
      </w:r>
      <w:r>
        <w:rPr>
          <w:rFonts w:eastAsia="等线" w:ascii="Arial" w:cs="Arial" w:hAnsi="Arial"/>
          <w:sz w:val="22"/>
        </w:rPr>
        <w:t>[插入物理部署拓扑图，标注图号和图注，如：图5-3 物理部署拓扑图，清晰展示服务器节点、网络设备、存储设备、负载均衡设备等，以及各设备间的网络连接关系]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5.3.3 资源配置规划</w:t>
        <w:br/>
      </w:r>
      <w:r>
        <w:rPr>
          <w:rFonts w:eastAsia="等线" w:ascii="Arial" w:cs="Arial" w:hAnsi="Arial"/>
          <w:sz w:val="22"/>
        </w:rPr>
        <w:t>[说明各环境的资源配置，如服务器数量、CPU/内存/磁盘配置、数据库实例配置、缓存实例配置等]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9" w:id="19"/>
      <w:r>
        <w:rPr>
          <w:rFonts w:eastAsia="等线" w:ascii="Arial" w:cs="Arial" w:hAnsi="Arial"/>
          <w:b w:val="true"/>
          <w:sz w:val="32"/>
        </w:rPr>
        <w:t>5.4 数据架构视图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描述系统的数据模型、数据存储方案、数据流转过程及数据安全设计。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5.4.1 核心数据模型</w:t>
        <w:br/>
      </w:r>
      <w:r>
        <w:rPr>
          <w:rFonts w:eastAsia="等线" w:ascii="Arial" w:cs="Arial" w:hAnsi="Arial"/>
          <w:sz w:val="22"/>
        </w:rPr>
        <w:t>[展示核心实体及实体间的关系，可通过ER图呈现，说明各实体的核心字段、数据类型、主键/外键设计等]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5.4.2 数据存储方案</w:t>
        <w:br/>
      </w:r>
      <w:r>
        <w:rPr>
          <w:rFonts w:eastAsia="等线" w:ascii="Arial" w:cs="Arial" w:hAnsi="Arial"/>
          <w:sz w:val="22"/>
        </w:rPr>
        <w:t>[说明数据的存储方式，如关系型数据库（MySQL、Oracle）、非关系型数据库（MongoDB、Redis）、文件存储（MinIO、OSS）等，说明各类数据对应的存储介质及选择理由]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5.4.3 数据流转图</w:t>
        <w:br/>
      </w:r>
      <w:r>
        <w:rPr>
          <w:rFonts w:eastAsia="等线" w:ascii="Arial" w:cs="Arial" w:hAnsi="Arial"/>
          <w:sz w:val="22"/>
        </w:rPr>
        <w:t>[插入数据流转图，标注图号和图注，如：图5-4 核心数据流转图，展示数据在系统各模块/组件间的产生、传输、处理、存储全过程]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5.4.4 数据安全设计</w:t>
        <w:br/>
      </w:r>
      <w:r>
        <w:rPr>
          <w:rFonts w:eastAsia="等线" w:ascii="Arial" w:cs="Arial" w:hAnsi="Arial"/>
          <w:sz w:val="22"/>
        </w:rPr>
        <w:t>[说明数据的安全保障措施，如数据加密（传输加密、存储加密）、数据脱敏、数据备份与恢复策略等]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0" w:id="20"/>
      <w:r>
        <w:rPr>
          <w:rFonts w:eastAsia="等线" w:ascii="Arial" w:cs="Arial" w:hAnsi="Arial"/>
          <w:b w:val="true"/>
          <w:sz w:val="36"/>
        </w:rPr>
        <w:t>6. 关键业务场景与核心流程（Key Business Scenarios &amp; Core Flows）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针对系统的核心业务场景，详细描述对应的业务流程、架构设计支撑及关键技术点。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1" w:id="21"/>
      <w:r>
        <w:rPr>
          <w:rFonts w:eastAsia="等线" w:ascii="Arial" w:cs="Arial" w:hAnsi="Arial"/>
          <w:b w:val="true"/>
          <w:sz w:val="32"/>
        </w:rPr>
        <w:t>6.1 核心业务场景列表</w:t>
      </w:r>
      <w:bookmarkEnd w:id="2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[列出系统的核心业务场景，如用户注册登录场景、订单创建支付场景、数据统计分析场景等]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6.2 核心流程详细设计（以某场景为例）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6.2.1 场景描述</w:t>
        <w:br/>
      </w:r>
      <w:r>
        <w:rPr>
          <w:rFonts w:eastAsia="等线" w:ascii="Arial" w:cs="Arial" w:hAnsi="Arial"/>
          <w:sz w:val="22"/>
        </w:rPr>
        <w:t>[说明场景的业务背景、触发条件、参与角色]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6.2.2 流程步骤</w:t>
        <w:br/>
      </w:r>
      <w:r>
        <w:rPr>
          <w:rFonts w:eastAsia="等线" w:ascii="Arial" w:cs="Arial" w:hAnsi="Arial"/>
          <w:sz w:val="22"/>
        </w:rPr>
        <w:t>[通过流程图+文字说明的方式，描述场景的完整业务流程，包括前端交互、后端处理、数据存储等环节]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6.2.3 架构支撑设计</w:t>
        <w:br/>
      </w:r>
      <w:r>
        <w:rPr>
          <w:rFonts w:eastAsia="等线" w:ascii="Arial" w:cs="Arial" w:hAnsi="Arial"/>
          <w:sz w:val="22"/>
        </w:rPr>
        <w:t>[说明该流程对应的架构组件调用关系、关键接口使用、数据流转路径]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6.2.4 关键技术点</w:t>
        <w:br/>
      </w:r>
      <w:r>
        <w:rPr>
          <w:rFonts w:eastAsia="等线" w:ascii="Arial" w:cs="Arial" w:hAnsi="Arial"/>
          <w:sz w:val="22"/>
        </w:rPr>
        <w:t>[说明该流程中的核心技术难点及解决方案，如并发控制、事务处理、性能优化等]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3" w:id="23"/>
      <w:r>
        <w:rPr>
          <w:rFonts w:eastAsia="等线" w:ascii="Arial" w:cs="Arial" w:hAnsi="Arial"/>
          <w:b w:val="true"/>
          <w:sz w:val="36"/>
        </w:rPr>
        <w:t>7. 非功能需求设计（Non-Functional Requirements Design）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针对第4.2节提出的质量属性需求，详细描述对应的架构设计方案，确保非功能需求可落地。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7.1 性能设计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说明保障系统性能的设计方案，如：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并发控制：使用分布式锁、线程池优化等；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缓存设计：多级缓存（本地缓存+分布式缓存）、缓存策略（缓存穿透/击穿/雪崩解决方案）；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数据库优化：索引设计、分库分表、读写分离等；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异步处理：消息队列异步化处理非核心流程等。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5" w:id="25"/>
      <w:r>
        <w:rPr>
          <w:rFonts w:eastAsia="等线" w:ascii="Arial" w:cs="Arial" w:hAnsi="Arial"/>
          <w:b w:val="true"/>
          <w:sz w:val="32"/>
        </w:rPr>
        <w:t>7.2 可用性设计</w:t>
      </w:r>
      <w:bookmarkEnd w:id="2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说明保障系统高可用的设计方案，如：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容错设计：服务熔断、降级、限流机制，使用Sentinel/Resilience4j等组件；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冗余设计：关键服务多实例部署、数据库主从复制、异地多活等；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故障恢复：自动化故障检测、故障转移机制，数据备份与恢复策略（全量备份+增量备份）等。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6" w:id="26"/>
      <w:r>
        <w:rPr>
          <w:rFonts w:eastAsia="等线" w:ascii="Arial" w:cs="Arial" w:hAnsi="Arial"/>
          <w:b w:val="true"/>
          <w:sz w:val="32"/>
        </w:rPr>
        <w:t>7.3 安全性设计</w:t>
      </w:r>
      <w:bookmarkEnd w:id="2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说明保障系统安全的设计方案，如：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身份认证与授权：OAuth2.0/JWT认证、RBAC权限管理；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数据安全：敏感数据加密存储（如用户密码MD5加密）、传输加密（HTTPS）、数据脱敏（如手机号中间4位替换为*）；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接口安全：接口签名、防重放攻击、防SQL注入/XSS攻击、接口限流等；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运维安全：服务器安全加固、日志审计、访问权限控制等。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sz w:val="32"/>
        </w:rPr>
        <w:t>7.4 可扩展性设计</w:t>
      </w:r>
      <w:bookmarkEnd w:id="2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说明保障系统可扩展性的设计方案，如：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模块化/服务化设计：模块间低耦合，支持独立部署和扩展；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插件化设计：核心功能支持插件扩展，新增功能可通过插件接入，无需修改核心代码；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配置中心：使用Nacos/Apollo等配置中心，支持配置动态调整，无需重启服务；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服务治理：支持服务注册与发现，便于服务横向扩展。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8" w:id="28"/>
      <w:r>
        <w:rPr>
          <w:rFonts w:eastAsia="等线" w:ascii="Arial" w:cs="Arial" w:hAnsi="Arial"/>
          <w:b w:val="true"/>
          <w:sz w:val="36"/>
        </w:rPr>
        <w:t>8. 架构决策记录（Architecture Decision Records, ADRs）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记录架构设计过程中的关键决策、决策依据、备选方案及决策影响，便于后续追溯和理解架构设计思路。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915"/>
        <w:gridCol w:w="915"/>
        <w:gridCol w:w="915"/>
        <w:gridCol w:w="915"/>
        <w:gridCol w:w="915"/>
        <w:gridCol w:w="915"/>
        <w:gridCol w:w="915"/>
        <w:gridCol w:w="915"/>
        <w:gridCol w:w="915"/>
      </w:tblGrid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决策ID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决策主题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决策背景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备选方案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最终决策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决策依据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影响范围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决策日期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ADR-001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[如：后端技术栈选择]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[如：需选择成熟、生态完善、团队熟悉的后端技术</w:t>
            </w:r>
            <w:r>
              <w:rPr>
                <w:rFonts w:eastAsia="等线" w:ascii="Arial" w:cs="Arial" w:hAnsi="Arial"/>
                <w:sz w:val="22"/>
              </w:rPr>
              <w:t>栈，支撑高并发场景]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[如：方案1：</w:t>
            </w:r>
            <w:r>
              <w:rPr>
                <w:rFonts w:eastAsia="等线" w:ascii="Arial" w:cs="Arial" w:hAnsi="Arial"/>
                <w:sz w:val="22"/>
              </w:rPr>
              <w:t>Java+Spring Boot；方案2：Go+Gin；方案3：Python+Django]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[如：Java+Spring Boot]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[如：团队Java技术储备充足，Spring Boot生态完善，支持</w:t>
            </w:r>
            <w:r>
              <w:rPr>
                <w:rFonts w:eastAsia="等线" w:ascii="Arial" w:cs="Arial" w:hAnsi="Arial"/>
                <w:sz w:val="22"/>
              </w:rPr>
              <w:t>高并发，有大量成熟组件可复用]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[如：全后端开发、服务部署、后续维护]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YYYY-MM-DD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[姓名]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9" w:id="29"/>
      <w:r>
        <w:rPr>
          <w:rFonts w:eastAsia="等线" w:ascii="Arial" w:cs="Arial" w:hAnsi="Arial"/>
          <w:b w:val="true"/>
          <w:sz w:val="36"/>
        </w:rPr>
        <w:t>9. 风险与缓解措施（Risks &amp; Mitigations）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识别架构设计过程中可能面临的风险（技术风险、业务风险、资源风险等），并制定对应的缓解措施和应急预案。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85"/>
        <w:gridCol w:w="1185"/>
        <w:gridCol w:w="1185"/>
        <w:gridCol w:w="1185"/>
        <w:gridCol w:w="1185"/>
        <w:gridCol w:w="1185"/>
        <w:gridCol w:w="1185"/>
      </w:tblGrid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风险ID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风险描述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风险等级（高/中/低）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影响范围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缓解措施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应急预案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RISK-001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[如：高并发场景下缓存雪崩，导致数据库压力</w:t>
            </w:r>
            <w:r>
              <w:rPr>
                <w:rFonts w:eastAsia="等线" w:ascii="Arial" w:cs="Arial" w:hAnsi="Arial"/>
                <w:sz w:val="22"/>
              </w:rPr>
              <w:t>激增]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系统性能</w:t>
            </w:r>
            <w:r>
              <w:rPr>
                <w:rFonts w:eastAsia="等线" w:ascii="Arial" w:cs="Arial" w:hAnsi="Arial"/>
                <w:sz w:val="22"/>
              </w:rPr>
              <w:t>、可用性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[如：缓存过期时间添加随机值、</w:t>
            </w:r>
            <w:r>
              <w:rPr>
                <w:rFonts w:eastAsia="等线" w:ascii="Arial" w:cs="Arial" w:hAnsi="Arial"/>
                <w:sz w:val="22"/>
              </w:rPr>
              <w:t>使用多级缓存、缓存预热]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[如：触发缓存雪崩</w:t>
            </w:r>
            <w:r>
              <w:rPr>
                <w:rFonts w:eastAsia="等线" w:ascii="Arial" w:cs="Arial" w:hAnsi="Arial"/>
                <w:sz w:val="22"/>
              </w:rPr>
              <w:t>后，启用服务降级，限制非核心接口访问，手动刷新缓存]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[姓名]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0" w:id="30"/>
      <w:r>
        <w:rPr>
          <w:rFonts w:eastAsia="等线" w:ascii="Arial" w:cs="Arial" w:hAnsi="Arial"/>
          <w:b w:val="true"/>
          <w:sz w:val="36"/>
        </w:rPr>
        <w:t>10. 迁移与演进计划（Migration &amp; Evolution Plan）</w:t>
      </w:r>
      <w:bookmarkEnd w:id="3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1" w:id="31"/>
      <w:r>
        <w:rPr>
          <w:rFonts w:eastAsia="等线" w:ascii="Arial" w:cs="Arial" w:hAnsi="Arial"/>
          <w:b w:val="true"/>
          <w:sz w:val="32"/>
        </w:rPr>
        <w:t>10.1 系统迁移计划（如适用）</w:t>
      </w:r>
      <w:bookmarkEnd w:id="3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若系统涉及从旧系统迁移，说明迁移范围、迁移步骤、迁移策略（如灰度迁移、全量迁移）、迁移时间节点、数据迁移方案及回滚机制。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2" w:id="32"/>
      <w:r>
        <w:rPr>
          <w:rFonts w:eastAsia="等线" w:ascii="Arial" w:cs="Arial" w:hAnsi="Arial"/>
          <w:b w:val="true"/>
          <w:sz w:val="32"/>
        </w:rPr>
        <w:t>10.2 架构演进计划</w:t>
      </w:r>
      <w:bookmarkEnd w:id="3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结合业务发展规划，说明架构的中长期演进方向和阶段目标，如：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短期（1-2年）：完善核心功能架构，优化性能和可用性；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中期（2-3年）：实现服务化拆分，支持更大规模的业务扩展；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长期（3年以上）：构建微服务生态，支持跨系统协同，实现智能化升级。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3" w:id="33"/>
      <w:r>
        <w:rPr>
          <w:rFonts w:eastAsia="等线" w:ascii="Arial" w:cs="Arial" w:hAnsi="Arial"/>
          <w:b w:val="true"/>
          <w:sz w:val="36"/>
        </w:rPr>
        <w:t>11. 附录（Appendix）</w:t>
      </w:r>
      <w:bookmarkEnd w:id="33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4" w:id="34"/>
      <w:r>
        <w:rPr>
          <w:rFonts w:eastAsia="等线" w:ascii="Arial" w:cs="Arial" w:hAnsi="Arial"/>
          <w:b w:val="true"/>
          <w:sz w:val="32"/>
        </w:rPr>
        <w:t>11.1 参考文档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列出本文档参考的相关文档，如：产品需求文档（PRD）、行业规范、技术标准、第三方组件文档等。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5" w:id="35"/>
      <w:r>
        <w:rPr>
          <w:rFonts w:eastAsia="等线" w:ascii="Arial" w:cs="Arial" w:hAnsi="Arial"/>
          <w:b w:val="true"/>
          <w:sz w:val="32"/>
        </w:rPr>
        <w:t>11.2 补充图表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放置本文档中未详细展示的补充图表，如完整的ER图、详细的组件接口列表、全量数据流转图等。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6" w:id="36"/>
      <w:r>
        <w:rPr>
          <w:rFonts w:eastAsia="等线" w:ascii="Arial" w:cs="Arial" w:hAnsi="Arial"/>
          <w:b w:val="true"/>
          <w:sz w:val="32"/>
        </w:rPr>
        <w:t>11.3 术语表</w:t>
      </w:r>
      <w:bookmarkEnd w:id="3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详细列出本文档中使用的所有术语、缩写、符号的定义，便于读者理解。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生成)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303275">
    <w:lvl>
      <w:numFmt w:val="bullet"/>
      <w:suff w:val="tab"/>
      <w:lvlText w:val="•"/>
      <w:rPr>
        <w:color w:val="3370ff"/>
      </w:rPr>
    </w:lvl>
  </w:abstractNum>
  <w:abstractNum w:abstractNumId="1303276">
    <w:lvl>
      <w:numFmt w:val="bullet"/>
      <w:suff w:val="tab"/>
      <w:lvlText w:val="•"/>
      <w:rPr>
        <w:color w:val="3370ff"/>
      </w:rPr>
    </w:lvl>
  </w:abstractNum>
  <w:abstractNum w:abstractNumId="1303277">
    <w:lvl>
      <w:numFmt w:val="bullet"/>
      <w:suff w:val="tab"/>
      <w:lvlText w:val="•"/>
      <w:rPr>
        <w:color w:val="3370ff"/>
      </w:rPr>
    </w:lvl>
  </w:abstractNum>
  <w:abstractNum w:abstractNumId="1303278">
    <w:lvl>
      <w:numFmt w:val="bullet"/>
      <w:suff w:val="tab"/>
      <w:lvlText w:val="•"/>
      <w:rPr>
        <w:color w:val="3370ff"/>
      </w:rPr>
    </w:lvl>
  </w:abstractNum>
  <w:abstractNum w:abstractNumId="1303279">
    <w:lvl>
      <w:numFmt w:val="bullet"/>
      <w:suff w:val="tab"/>
      <w:lvlText w:val="•"/>
      <w:rPr>
        <w:color w:val="3370ff"/>
      </w:rPr>
    </w:lvl>
  </w:abstractNum>
  <w:abstractNum w:abstractNumId="1303280">
    <w:lvl>
      <w:numFmt w:val="bullet"/>
      <w:suff w:val="tab"/>
      <w:lvlText w:val="•"/>
      <w:rPr>
        <w:color w:val="3370ff"/>
      </w:rPr>
    </w:lvl>
  </w:abstractNum>
  <w:abstractNum w:abstractNumId="1303281">
    <w:lvl>
      <w:numFmt w:val="bullet"/>
      <w:suff w:val="tab"/>
      <w:lvlText w:val="•"/>
      <w:rPr>
        <w:color w:val="3370ff"/>
      </w:rPr>
    </w:lvl>
  </w:abstractNum>
  <w:abstractNum w:abstractNumId="1303282">
    <w:lvl>
      <w:numFmt w:val="bullet"/>
      <w:suff w:val="tab"/>
      <w:lvlText w:val="•"/>
      <w:rPr>
        <w:color w:val="3370ff"/>
      </w:rPr>
    </w:lvl>
  </w:abstractNum>
  <w:abstractNum w:abstractNumId="1303283">
    <w:lvl>
      <w:numFmt w:val="bullet"/>
      <w:suff w:val="tab"/>
      <w:lvlText w:val="•"/>
      <w:rPr>
        <w:color w:val="3370ff"/>
      </w:rPr>
    </w:lvl>
  </w:abstractNum>
  <w:abstractNum w:abstractNumId="1303284">
    <w:lvl>
      <w:numFmt w:val="bullet"/>
      <w:suff w:val="tab"/>
      <w:lvlText w:val="•"/>
      <w:rPr>
        <w:color w:val="3370ff"/>
      </w:rPr>
    </w:lvl>
  </w:abstractNum>
  <w:abstractNum w:abstractNumId="1303285">
    <w:lvl>
      <w:numFmt w:val="bullet"/>
      <w:suff w:val="tab"/>
      <w:lvlText w:val="•"/>
      <w:rPr>
        <w:color w:val="3370ff"/>
      </w:rPr>
    </w:lvl>
  </w:abstractNum>
  <w:abstractNum w:abstractNumId="1303286">
    <w:lvl>
      <w:numFmt w:val="bullet"/>
      <w:suff w:val="tab"/>
      <w:lvlText w:val="•"/>
      <w:rPr>
        <w:color w:val="3370ff"/>
      </w:rPr>
    </w:lvl>
  </w:abstractNum>
  <w:abstractNum w:abstractNumId="1303287">
    <w:lvl>
      <w:numFmt w:val="bullet"/>
      <w:suff w:val="tab"/>
      <w:lvlText w:val="•"/>
      <w:rPr>
        <w:color w:val="3370ff"/>
      </w:rPr>
    </w:lvl>
  </w:abstractNum>
  <w:abstractNum w:abstractNumId="1303288">
    <w:lvl>
      <w:numFmt w:val="bullet"/>
      <w:suff w:val="tab"/>
      <w:lvlText w:val="•"/>
      <w:rPr>
        <w:color w:val="3370ff"/>
      </w:rPr>
    </w:lvl>
  </w:abstractNum>
  <w:abstractNum w:abstractNumId="1303289">
    <w:lvl>
      <w:numFmt w:val="bullet"/>
      <w:suff w:val="tab"/>
      <w:lvlText w:val="•"/>
      <w:rPr>
        <w:color w:val="3370ff"/>
      </w:rPr>
    </w:lvl>
  </w:abstractNum>
  <w:abstractNum w:abstractNumId="1303290">
    <w:lvl>
      <w:numFmt w:val="bullet"/>
      <w:suff w:val="tab"/>
      <w:lvlText w:val="•"/>
      <w:rPr>
        <w:color w:val="3370ff"/>
      </w:rPr>
    </w:lvl>
  </w:abstractNum>
  <w:abstractNum w:abstractNumId="1303291">
    <w:lvl>
      <w:numFmt w:val="bullet"/>
      <w:suff w:val="tab"/>
      <w:lvlText w:val="•"/>
      <w:rPr>
        <w:color w:val="3370ff"/>
      </w:rPr>
    </w:lvl>
  </w:abstractNum>
  <w:abstractNum w:abstractNumId="1303292">
    <w:lvl>
      <w:numFmt w:val="bullet"/>
      <w:suff w:val="tab"/>
      <w:lvlText w:val="•"/>
      <w:rPr>
        <w:color w:val="3370ff"/>
      </w:rPr>
    </w:lvl>
  </w:abstractNum>
  <w:abstractNum w:abstractNumId="1303293">
    <w:lvl>
      <w:numFmt w:val="bullet"/>
      <w:suff w:val="tab"/>
      <w:lvlText w:val="•"/>
      <w:rPr>
        <w:color w:val="3370ff"/>
      </w:rPr>
    </w:lvl>
  </w:abstractNum>
  <w:abstractNum w:abstractNumId="1303294">
    <w:lvl>
      <w:numFmt w:val="bullet"/>
      <w:suff w:val="tab"/>
      <w:lvlText w:val="•"/>
      <w:rPr>
        <w:color w:val="3370ff"/>
      </w:rPr>
    </w:lvl>
  </w:abstractNum>
  <w:abstractNum w:abstractNumId="1303295">
    <w:lvl>
      <w:numFmt w:val="bullet"/>
      <w:suff w:val="tab"/>
      <w:lvlText w:val="•"/>
      <w:rPr>
        <w:color w:val="3370ff"/>
      </w:rPr>
    </w:lvl>
  </w:abstractNum>
  <w:abstractNum w:abstractNumId="1303296">
    <w:lvl>
      <w:numFmt w:val="bullet"/>
      <w:suff w:val="tab"/>
      <w:lvlText w:val="•"/>
      <w:rPr>
        <w:color w:val="3370ff"/>
      </w:rPr>
    </w:lvl>
  </w:abstractNum>
  <w:abstractNum w:abstractNumId="1303297">
    <w:lvl>
      <w:numFmt w:val="bullet"/>
      <w:suff w:val="tab"/>
      <w:lvlText w:val="•"/>
      <w:rPr>
        <w:color w:val="3370ff"/>
      </w:rPr>
    </w:lvl>
  </w:abstractNum>
  <w:abstractNum w:abstractNumId="1303298">
    <w:lvl>
      <w:numFmt w:val="bullet"/>
      <w:suff w:val="tab"/>
      <w:lvlText w:val="•"/>
      <w:rPr>
        <w:color w:val="3370ff"/>
      </w:rPr>
    </w:lvl>
  </w:abstractNum>
  <w:abstractNum w:abstractNumId="1303299">
    <w:lvl>
      <w:numFmt w:val="bullet"/>
      <w:suff w:val="tab"/>
      <w:lvlText w:val="•"/>
      <w:rPr>
        <w:color w:val="3370ff"/>
      </w:rPr>
    </w:lvl>
  </w:abstractNum>
  <w:abstractNum w:abstractNumId="1303300">
    <w:lvl>
      <w:numFmt w:val="bullet"/>
      <w:suff w:val="tab"/>
      <w:lvlText w:val="•"/>
      <w:rPr>
        <w:color w:val="3370ff"/>
      </w:rPr>
    </w:lvl>
  </w:abstractNum>
  <w:abstractNum w:abstractNumId="1303301">
    <w:lvl>
      <w:numFmt w:val="bullet"/>
      <w:suff w:val="tab"/>
      <w:lvlText w:val="•"/>
      <w:rPr>
        <w:color w:val="3370ff"/>
      </w:rPr>
    </w:lvl>
  </w:abstractNum>
  <w:abstractNum w:abstractNumId="1303302">
    <w:lvl>
      <w:numFmt w:val="bullet"/>
      <w:suff w:val="tab"/>
      <w:lvlText w:val="•"/>
      <w:rPr>
        <w:color w:val="3370ff"/>
      </w:rPr>
    </w:lvl>
  </w:abstractNum>
  <w:abstractNum w:abstractNumId="1303303">
    <w:lvl>
      <w:numFmt w:val="bullet"/>
      <w:suff w:val="tab"/>
      <w:lvlText w:val="•"/>
      <w:rPr>
        <w:color w:val="3370ff"/>
      </w:rPr>
    </w:lvl>
  </w:abstractNum>
  <w:abstractNum w:abstractNumId="1303304">
    <w:lvl>
      <w:numFmt w:val="bullet"/>
      <w:suff w:val="tab"/>
      <w:lvlText w:val="•"/>
      <w:rPr>
        <w:color w:val="3370ff"/>
      </w:rPr>
    </w:lvl>
  </w:abstractNum>
  <w:abstractNum w:abstractNumId="1303305">
    <w:lvl>
      <w:numFmt w:val="bullet"/>
      <w:suff w:val="tab"/>
      <w:lvlText w:val="•"/>
      <w:rPr>
        <w:color w:val="3370ff"/>
      </w:rPr>
    </w:lvl>
  </w:abstractNum>
  <w:abstractNum w:abstractNumId="1303306">
    <w:lvl>
      <w:numFmt w:val="bullet"/>
      <w:suff w:val="tab"/>
      <w:lvlText w:val="•"/>
      <w:rPr>
        <w:color w:val="3370ff"/>
      </w:rPr>
    </w:lvl>
  </w:abstractNum>
  <w:abstractNum w:abstractNumId="1303307">
    <w:lvl>
      <w:numFmt w:val="bullet"/>
      <w:suff w:val="tab"/>
      <w:lvlText w:val="•"/>
      <w:rPr>
        <w:color w:val="3370ff"/>
      </w:rPr>
    </w:lvl>
  </w:abstractNum>
  <w:num w:numId="1">
    <w:abstractNumId w:val="1303275"/>
  </w:num>
  <w:num w:numId="2">
    <w:abstractNumId w:val="1303276"/>
  </w:num>
  <w:num w:numId="3">
    <w:abstractNumId w:val="1303277"/>
  </w:num>
  <w:num w:numId="4">
    <w:abstractNumId w:val="1303278"/>
  </w:num>
  <w:num w:numId="5">
    <w:abstractNumId w:val="1303279"/>
  </w:num>
  <w:num w:numId="6">
    <w:abstractNumId w:val="1303280"/>
  </w:num>
  <w:num w:numId="7">
    <w:abstractNumId w:val="1303281"/>
  </w:num>
  <w:num w:numId="8">
    <w:abstractNumId w:val="1303282"/>
  </w:num>
  <w:num w:numId="9">
    <w:abstractNumId w:val="1303283"/>
  </w:num>
  <w:num w:numId="10">
    <w:abstractNumId w:val="1303284"/>
  </w:num>
  <w:num w:numId="11">
    <w:abstractNumId w:val="1303285"/>
  </w:num>
  <w:num w:numId="12">
    <w:abstractNumId w:val="1303286"/>
  </w:num>
  <w:num w:numId="13">
    <w:abstractNumId w:val="1303287"/>
  </w:num>
  <w:num w:numId="14">
    <w:abstractNumId w:val="1303288"/>
  </w:num>
  <w:num w:numId="15">
    <w:abstractNumId w:val="1303289"/>
  </w:num>
  <w:num w:numId="16">
    <w:abstractNumId w:val="1303290"/>
  </w:num>
  <w:num w:numId="17">
    <w:abstractNumId w:val="1303291"/>
  </w:num>
  <w:num w:numId="18">
    <w:abstractNumId w:val="1303292"/>
  </w:num>
  <w:num w:numId="19">
    <w:abstractNumId w:val="1303293"/>
  </w:num>
  <w:num w:numId="20">
    <w:abstractNumId w:val="1303294"/>
  </w:num>
  <w:num w:numId="21">
    <w:abstractNumId w:val="1303295"/>
  </w:num>
  <w:num w:numId="22">
    <w:abstractNumId w:val="1303296"/>
  </w:num>
  <w:num w:numId="23">
    <w:abstractNumId w:val="1303297"/>
  </w:num>
  <w:num w:numId="24">
    <w:abstractNumId w:val="1303298"/>
  </w:num>
  <w:num w:numId="25">
    <w:abstractNumId w:val="1303299"/>
  </w:num>
  <w:num w:numId="26">
    <w:abstractNumId w:val="1303300"/>
  </w:num>
  <w:num w:numId="27">
    <w:abstractNumId w:val="1303301"/>
  </w:num>
  <w:num w:numId="28">
    <w:abstractNumId w:val="1303302"/>
  </w:num>
  <w:num w:numId="29">
    <w:abstractNumId w:val="1303303"/>
  </w:num>
  <w:num w:numId="30">
    <w:abstractNumId w:val="1303304"/>
  </w:num>
  <w:num w:numId="31">
    <w:abstractNumId w:val="1303305"/>
  </w:num>
  <w:num w:numId="32">
    <w:abstractNumId w:val="1303306"/>
  </w:num>
  <w:num w:numId="33">
    <w:abstractNumId w:val="1303307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2025-12-27T03:55:56Z</dcterms:created>
  <dc:creator>Apache POI</dc:creator>
</cp:coreProperties>
</file>