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87AFE">
      <w:pPr>
        <w:rPr>
          <w:rFonts w:eastAsia="仿宋_GB2312"/>
          <w:b/>
          <w:bCs/>
          <w:sz w:val="28"/>
          <w:szCs w:val="28"/>
        </w:rPr>
      </w:pPr>
      <w:r>
        <w:rPr>
          <w:rFonts w:eastAsia="仿宋_GB2312"/>
          <w:b/>
          <w:bCs/>
          <w:sz w:val="28"/>
          <w:szCs w:val="28"/>
        </w:rPr>
        <w:t>课程编号：</w:t>
      </w:r>
      <w:r>
        <w:rPr>
          <w:rFonts w:hint="eastAsia" w:eastAsia="仿宋_GB2312"/>
          <w:b/>
          <w:bCs/>
          <w:sz w:val="28"/>
          <w:szCs w:val="28"/>
        </w:rPr>
        <w:t>A0801051040</w:t>
      </w:r>
    </w:p>
    <w:p w14:paraId="25132928">
      <w:pPr>
        <w:jc w:val="center"/>
        <w:rPr>
          <w:rFonts w:eastAsia="仿宋_GB2312"/>
          <w:b/>
          <w:bCs/>
          <w:sz w:val="72"/>
          <w:szCs w:val="72"/>
        </w:rPr>
      </w:pPr>
    </w:p>
    <w:p w14:paraId="6B1EB6ED">
      <w:pPr>
        <w:jc w:val="center"/>
        <w:rPr>
          <w:rFonts w:eastAsia="仿宋_GB2312"/>
          <w:b/>
          <w:bCs/>
          <w:sz w:val="52"/>
          <w:szCs w:val="52"/>
        </w:rPr>
      </w:pPr>
      <w:r>
        <w:rPr>
          <w:rFonts w:eastAsia="仿宋_GB2312"/>
          <w:b/>
          <w:bCs/>
          <w:sz w:val="52"/>
          <w:szCs w:val="52"/>
        </w:rPr>
        <w:t>《</w:t>
      </w:r>
      <w:r>
        <w:rPr>
          <w:rFonts w:hint="eastAsia" w:eastAsia="仿宋_GB2312"/>
          <w:b/>
          <w:bCs/>
          <w:sz w:val="52"/>
          <w:szCs w:val="52"/>
        </w:rPr>
        <w:t>Web开发技术</w:t>
      </w:r>
      <w:r>
        <w:rPr>
          <w:rFonts w:eastAsia="仿宋_GB2312"/>
          <w:b/>
          <w:bCs/>
          <w:sz w:val="52"/>
          <w:szCs w:val="52"/>
        </w:rPr>
        <w:t>》实验报告</w:t>
      </w:r>
    </w:p>
    <w:p w14:paraId="145C824F">
      <w:pPr>
        <w:jc w:val="center"/>
        <w:rPr>
          <w:rFonts w:eastAsia="仿宋_GB2312"/>
          <w:b/>
          <w:bCs/>
          <w:sz w:val="52"/>
          <w:szCs w:val="52"/>
        </w:rPr>
      </w:pPr>
    </w:p>
    <w:p w14:paraId="3BFFCCDE">
      <w:pPr>
        <w:jc w:val="center"/>
        <w:rPr>
          <w:rFonts w:eastAsia="仿宋_GB2312"/>
          <w:b/>
          <w:bCs/>
          <w:sz w:val="52"/>
          <w:szCs w:val="52"/>
        </w:rPr>
      </w:pPr>
    </w:p>
    <w:p w14:paraId="5F633504">
      <w:pPr>
        <w:jc w:val="center"/>
        <w:rPr>
          <w:sz w:val="28"/>
          <w:szCs w:val="28"/>
        </w:rPr>
      </w:pPr>
      <w:r>
        <w:rPr>
          <w:sz w:val="28"/>
          <w:szCs w:val="28"/>
          <w:lang w:val="en-US" w:eastAsia="zh-CN"/>
        </w:rPr>
        <w:pict>
          <v:shape id="_x0000_i1025" o:spt="75" alt="showimg31" type="#_x0000_t75" style="height:121pt;width:12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BF5C885">
      <w:pPr>
        <w:rPr>
          <w:rFonts w:eastAsia="仿宋_GB2312"/>
        </w:rPr>
      </w:pPr>
    </w:p>
    <w:p w14:paraId="1F1A9001">
      <w:pPr>
        <w:rPr>
          <w:rFonts w:eastAsia="仿宋_GB2312"/>
        </w:rPr>
      </w:pPr>
    </w:p>
    <w:p w14:paraId="5913293D">
      <w:pPr>
        <w:rPr>
          <w:rFonts w:eastAsia="仿宋_GB2312"/>
        </w:rPr>
      </w:pP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2153"/>
        <w:gridCol w:w="1537"/>
        <w:gridCol w:w="2791"/>
      </w:tblGrid>
      <w:tr w14:paraId="2AC3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1EFD0">
            <w:pPr>
              <w:jc w:val="distribute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9D28E">
            <w:pPr>
              <w:jc w:val="center"/>
              <w:rPr>
                <w:rFonts w:hint="eastAsia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F832E">
            <w:pPr>
              <w:jc w:val="distribute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2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283D46">
            <w:pPr>
              <w:jc w:val="center"/>
              <w:rPr>
                <w:rFonts w:hint="eastAsia" w:eastAsia="仿宋"/>
                <w:b/>
                <w:bCs/>
                <w:sz w:val="24"/>
                <w:szCs w:val="24"/>
              </w:rPr>
            </w:pPr>
            <w:r>
              <w:rPr>
                <w:rFonts w:hint="eastAsia" w:eastAsia="仿宋"/>
                <w:b/>
                <w:bCs/>
                <w:sz w:val="24"/>
                <w:szCs w:val="24"/>
              </w:rPr>
              <w:t xml:space="preserve"> </w:t>
            </w:r>
          </w:p>
        </w:tc>
      </w:tr>
      <w:tr w14:paraId="58260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DE403">
            <w:pPr>
              <w:wordWrap w:val="0"/>
              <w:jc w:val="distribute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z w:val="24"/>
                <w:szCs w:val="24"/>
              </w:rPr>
              <w:t>班级</w:t>
            </w:r>
          </w:p>
        </w:tc>
        <w:tc>
          <w:tcPr>
            <w:tcW w:w="2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105F5">
            <w:pPr>
              <w:jc w:val="center"/>
              <w:rPr>
                <w:rFonts w:eastAsia="仿宋"/>
                <w:b/>
                <w:bCs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E4AB1">
            <w:pPr>
              <w:jc w:val="distribute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z w:val="24"/>
                <w:szCs w:val="24"/>
              </w:rPr>
              <w:t>指导教师</w:t>
            </w:r>
          </w:p>
        </w:tc>
        <w:tc>
          <w:tcPr>
            <w:tcW w:w="2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4351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pacing w:val="60"/>
                <w:kern w:val="0"/>
                <w:sz w:val="24"/>
                <w:szCs w:val="24"/>
                <w:fitText w:val="960" w:id="1400386865"/>
              </w:rPr>
              <w:t>衣春</w:t>
            </w:r>
            <w:r>
              <w:rPr>
                <w:rFonts w:hint="eastAsia"/>
                <w:b/>
                <w:bCs/>
                <w:spacing w:val="0"/>
                <w:kern w:val="0"/>
                <w:sz w:val="24"/>
                <w:szCs w:val="24"/>
                <w:fitText w:val="960" w:id="1400386865"/>
              </w:rPr>
              <w:t>林</w:t>
            </w:r>
          </w:p>
        </w:tc>
      </w:tr>
      <w:tr w14:paraId="1A086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1162A">
            <w:pPr>
              <w:wordWrap w:val="0"/>
              <w:jc w:val="distribute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z w:val="24"/>
                <w:szCs w:val="24"/>
              </w:rPr>
              <w:t>实验名称</w:t>
            </w:r>
          </w:p>
        </w:tc>
        <w:tc>
          <w:tcPr>
            <w:tcW w:w="64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C2305">
            <w:pPr>
              <w:jc w:val="center"/>
              <w:rPr>
                <w:rFonts w:hint="eastAsia" w:eastAsia="仿宋"/>
                <w:b/>
                <w:bCs/>
                <w:sz w:val="24"/>
                <w:szCs w:val="24"/>
              </w:rPr>
            </w:pPr>
            <w:r>
              <w:rPr>
                <w:rFonts w:hint="eastAsia" w:eastAsia="仿宋"/>
                <w:b/>
                <w:bCs/>
                <w:sz w:val="24"/>
                <w:szCs w:val="24"/>
              </w:rPr>
              <w:t>《Web开发技术》实验</w:t>
            </w:r>
          </w:p>
        </w:tc>
      </w:tr>
      <w:tr w14:paraId="303B2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86269D">
            <w:pPr>
              <w:jc w:val="distribute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z w:val="24"/>
                <w:szCs w:val="24"/>
              </w:rPr>
              <w:t>开设学期</w:t>
            </w:r>
          </w:p>
        </w:tc>
        <w:tc>
          <w:tcPr>
            <w:tcW w:w="64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8422E2">
            <w:pPr>
              <w:jc w:val="center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pacing w:val="51"/>
                <w:kern w:val="0"/>
                <w:sz w:val="24"/>
                <w:szCs w:val="24"/>
              </w:rPr>
              <w:t>2025-2026</w:t>
            </w:r>
            <w:r>
              <w:rPr>
                <w:rFonts w:hint="eastAsia" w:ascii="宋体" w:hAnsi="宋体" w:cs="宋体"/>
                <w:b/>
                <w:bCs/>
                <w:spacing w:val="51"/>
                <w:kern w:val="0"/>
                <w:sz w:val="24"/>
                <w:szCs w:val="24"/>
              </w:rPr>
              <w:t>春季</w:t>
            </w:r>
            <w:r>
              <w:rPr>
                <w:rFonts w:eastAsia="仿宋"/>
                <w:b/>
                <w:bCs/>
                <w:spacing w:val="51"/>
                <w:kern w:val="0"/>
                <w:sz w:val="24"/>
                <w:szCs w:val="24"/>
              </w:rPr>
              <w:t>学</w:t>
            </w:r>
            <w:r>
              <w:rPr>
                <w:rFonts w:eastAsia="仿宋"/>
                <w:b/>
                <w:bCs/>
                <w:spacing w:val="-5"/>
                <w:kern w:val="0"/>
                <w:sz w:val="24"/>
                <w:szCs w:val="24"/>
              </w:rPr>
              <w:t>期</w:t>
            </w:r>
          </w:p>
        </w:tc>
      </w:tr>
      <w:tr w14:paraId="4A941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68C3E">
            <w:pPr>
              <w:jc w:val="distribute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z w:val="24"/>
                <w:szCs w:val="24"/>
              </w:rPr>
              <w:t>开设时间</w:t>
            </w:r>
          </w:p>
        </w:tc>
        <w:tc>
          <w:tcPr>
            <w:tcW w:w="64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F0589">
            <w:pPr>
              <w:jc w:val="center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pacing w:val="56"/>
                <w:kern w:val="0"/>
                <w:sz w:val="24"/>
                <w:szCs w:val="24"/>
              </w:rPr>
              <w:t>第1周——第13</w:t>
            </w:r>
            <w:r>
              <w:rPr>
                <w:rFonts w:eastAsia="仿宋"/>
                <w:b/>
                <w:bCs/>
                <w:spacing w:val="1"/>
                <w:kern w:val="0"/>
                <w:sz w:val="24"/>
                <w:szCs w:val="24"/>
              </w:rPr>
              <w:t>周</w:t>
            </w:r>
          </w:p>
        </w:tc>
      </w:tr>
      <w:tr w14:paraId="1D731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E095A">
            <w:pPr>
              <w:wordWrap w:val="0"/>
              <w:jc w:val="distribute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64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39836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2026年6月1日</w:t>
            </w:r>
          </w:p>
        </w:tc>
      </w:tr>
      <w:tr w14:paraId="3DE5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4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99FA5">
            <w:pPr>
              <w:jc w:val="distribute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z w:val="24"/>
                <w:szCs w:val="24"/>
              </w:rPr>
              <w:t>评定成绩</w:t>
            </w:r>
          </w:p>
        </w:tc>
        <w:tc>
          <w:tcPr>
            <w:tcW w:w="215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E6BFC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183BB">
            <w:pPr>
              <w:jc w:val="distribute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z w:val="24"/>
                <w:szCs w:val="24"/>
              </w:rPr>
              <w:t>评定人</w:t>
            </w:r>
          </w:p>
        </w:tc>
        <w:tc>
          <w:tcPr>
            <w:tcW w:w="2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766F6">
            <w:pPr>
              <w:jc w:val="center"/>
              <w:rPr>
                <w:rFonts w:hint="eastAsia"/>
                <w:b/>
                <w:bCs/>
                <w:color w:val="FF0000"/>
                <w:sz w:val="24"/>
                <w:szCs w:val="24"/>
                <w:lang w:val="en-GB"/>
              </w:rPr>
            </w:pPr>
            <w:r>
              <w:rPr>
                <w:rFonts w:hint="eastAsia"/>
                <w:b/>
                <w:bCs/>
                <w:color w:val="FF0000"/>
                <w:spacing w:val="60"/>
                <w:kern w:val="0"/>
                <w:sz w:val="24"/>
                <w:szCs w:val="24"/>
                <w:fitText w:val="960" w:id="1400386865"/>
              </w:rPr>
              <w:t>衣春</w:t>
            </w:r>
            <w:r>
              <w:rPr>
                <w:rFonts w:hint="eastAsia"/>
                <w:b/>
                <w:bCs/>
                <w:color w:val="FF0000"/>
                <w:spacing w:val="0"/>
                <w:kern w:val="0"/>
                <w:sz w:val="24"/>
                <w:szCs w:val="24"/>
                <w:fitText w:val="960" w:id="1400386865"/>
              </w:rPr>
              <w:t>林</w:t>
            </w:r>
          </w:p>
        </w:tc>
      </w:tr>
      <w:tr w14:paraId="2BD2F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4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71B57B">
            <w:pPr>
              <w:jc w:val="right"/>
              <w:rPr>
                <w:rFonts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5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4C028D">
            <w:pPr>
              <w:jc w:val="center"/>
              <w:rPr>
                <w:rFonts w:eastAsia="仿宋"/>
                <w:b/>
                <w:bCs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AD762">
            <w:pPr>
              <w:jc w:val="distribute"/>
              <w:rPr>
                <w:rFonts w:eastAsia="仿宋"/>
                <w:b/>
                <w:bCs/>
                <w:sz w:val="24"/>
                <w:szCs w:val="24"/>
              </w:rPr>
            </w:pPr>
            <w:r>
              <w:rPr>
                <w:rFonts w:eastAsia="仿宋"/>
                <w:b/>
                <w:bCs/>
                <w:sz w:val="24"/>
                <w:szCs w:val="24"/>
              </w:rPr>
              <w:t>评定日期</w:t>
            </w:r>
          </w:p>
        </w:tc>
        <w:tc>
          <w:tcPr>
            <w:tcW w:w="2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F57D40">
            <w:pPr>
              <w:jc w:val="center"/>
              <w:rPr>
                <w:rFonts w:hint="eastAsia"/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0000"/>
                <w:sz w:val="24"/>
                <w:szCs w:val="24"/>
              </w:rPr>
              <w:t>2026年6月10日</w:t>
            </w:r>
          </w:p>
        </w:tc>
      </w:tr>
    </w:tbl>
    <w:p w14:paraId="578EC1DA">
      <w:pPr>
        <w:widowControl/>
        <w:jc w:val="center"/>
        <w:rPr>
          <w:rFonts w:eastAsia="仿宋_GB2312"/>
          <w:b/>
          <w:bCs/>
          <w:sz w:val="28"/>
          <w:szCs w:val="28"/>
        </w:rPr>
      </w:pPr>
    </w:p>
    <w:p w14:paraId="1AAFBFA2">
      <w:pPr>
        <w:widowControl/>
        <w:jc w:val="center"/>
        <w:rPr>
          <w:rFonts w:eastAsia="仿宋_GB2312"/>
          <w:b/>
          <w:bCs/>
          <w:sz w:val="28"/>
          <w:szCs w:val="28"/>
        </w:rPr>
      </w:pPr>
      <w:r>
        <w:rPr>
          <w:rFonts w:eastAsia="仿宋_GB2312"/>
          <w:b/>
          <w:bCs/>
          <w:sz w:val="28"/>
          <w:szCs w:val="28"/>
        </w:rPr>
        <w:t>东北大学软件学院</w:t>
      </w:r>
    </w:p>
    <w:p w14:paraId="635771DB">
      <w:pPr>
        <w:rPr>
          <w:rFonts w:hint="eastAsia" w:ascii="宋体" w:hAnsi="宋体" w:cs="宋体"/>
          <w:b/>
          <w:bCs/>
          <w:sz w:val="28"/>
          <w:szCs w:val="28"/>
        </w:rPr>
      </w:pPr>
    </w:p>
    <w:p w14:paraId="2CB7CDC1">
      <w:pPr>
        <w:rPr>
          <w:rFonts w:hint="eastAsia" w:ascii="宋体" w:hAnsi="宋体" w:cs="宋体"/>
          <w:b/>
          <w:bCs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225D2DDF">
      <w:pPr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一、实验目的</w:t>
      </w:r>
    </w:p>
    <w:p w14:paraId="502368DE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6DB89E6A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本次实验旨在通过开发一个完整的"快递包裹管理系统"（Express Parcel Management System），综合运用Java语言、SpringBoot框架、MyBatis-Plus持久层框架、MySQL数据库以及Vue3+Element-Plus前端框架等技术，构建一个前后端分离的Web应用系统。</w:t>
      </w:r>
    </w:p>
    <w:p w14:paraId="609E7FF2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通过本实验，学生能够掌握以下能力：</w:t>
      </w:r>
    </w:p>
    <w:p w14:paraId="1DD673F4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（1）掌握Web开发的基本原理、开发方法及开发流程；</w:t>
      </w:r>
    </w:p>
    <w:p w14:paraId="000906F2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（2）熟练运用SpringBoot + MyBatis-Plus进行后端服务开发，包括RESTful API设计、数据库操作、事务管理、异常处理等；</w:t>
      </w:r>
    </w:p>
    <w:p w14:paraId="155F548F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（3）熟练运用Vue3 + Element-Plus进行前端界面开发，包括组件化开发、路由管理、状态管理、前后端数据交互等；</w:t>
      </w:r>
    </w:p>
    <w:p w14:paraId="4A7BCA20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（4）理解前后端分离架构的优势与实现方式，掌握CORS跨域配置、Session会话管理等关键技术；</w:t>
      </w:r>
    </w:p>
    <w:p w14:paraId="6D943789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（5）培养独立完成Web应用系统设计、开发、调试和部署的综合能力。</w:t>
      </w:r>
    </w:p>
    <w:p w14:paraId="6BB585CC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2DDACF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二、实验内容</w:t>
      </w:r>
    </w:p>
    <w:p w14:paraId="75FDAEFF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21CB75C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本项目实现了一个功能完善的快递包裹管理系统（莱鸟驿站），系统包含三种用户角色（普通用户、快递员、管理员），涵盖包裹寄送、入库管理、取件管理、异常处理、数据统计等核心业务场景。具体实验内容包括：</w:t>
      </w:r>
    </w:p>
    <w:p w14:paraId="620A76C9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7AE1384B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1. 用户管理模块</w:t>
      </w:r>
    </w:p>
    <w:p w14:paraId="017E2D5B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实现了用户注册、登录、忘记密码、个人信息修改等功能。系统支持三种角色：普通用户（REGULAR）、快递员（COURIER）、管理员（MANAGER）。密码采用BCrypt加密存储，保证用户数据安全。基于Session实现用户认证与权限控制，不同角色登录后展示不同的功能菜单（管理员：包裹管理+审批+异常处理；快递员：揽收+入库；普通用户：查件+寄件+取件）。</w:t>
      </w:r>
    </w:p>
    <w:p w14:paraId="07FC3E7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DE01356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2. 包裹寄送模块</w:t>
      </w:r>
    </w:p>
    <w:p w14:paraId="0BB81B84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用户可以创建寄件订单，填写寄件人/收件人信息（姓名、电话、地址）、包裹信息（名称、重量、体积）等。系统自动生成唯一的快递单号（格式：SP+时间戳+随机码），并根据包裹重量自动计算阶梯运费。管理员审核订单后可修改费用和取件方式，审核通过后系统随机分配在线快递员。用户在线支付后，由分配的快递员进行揽收。实现了完整的寄件生命周期状态机管理（SUBMITTED→APPROVED→PAID→COLLECTED，以及REJECTED拒绝状态）。</w:t>
      </w:r>
    </w:p>
    <w:p w14:paraId="7D87E40F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5E710D0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3. 包裹入库管理模块</w:t>
      </w:r>
    </w:p>
    <w:p w14:paraId="3FB6B0BE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快递员扫描快递单号完成入库操作，系统根据包裹体积自动判断柜型（SMALL: &lt;12000cm³, MEDIUM: 12000-125000cm³, LARGE: &gt;125000cm³）并生成结构化取件码（格式：柜号-随机数-随机数）。收件人可通过取件码取件，支持本人取件和代取人授权机制。还提供了公开查件和公开取件功能（PublicCheckout），无需登录即可凭快递单号+手机号查询和取出包裹。</w:t>
      </w:r>
    </w:p>
    <w:p w14:paraId="1DF13683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66D112BB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注：本项目中包裹信息的初始录入通过后台管理接口完成，这是在缺乏外部系统对接条件下的临时方案。在实际生产环境中，包裹信息应从电商平台（如淘宝、京东等）通过API接口自动同步获取，无需人工手动录入。</w:t>
      </w:r>
    </w:p>
    <w:p w14:paraId="44CABCDF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7BB5D017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 异常包裹处理模块</w:t>
      </w:r>
    </w:p>
    <w:p w14:paraId="33F84335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用户可对问题包裹（如包裹损坏、丢失、信息不符等）进行异常登记。管理员查看异常记录并进行处理，填写处理结果。支持按状态（UNRESOLVED/RESOLVED）筛选查询异常记录，异常记录关联快递单号便于追溯。</w:t>
      </w:r>
    </w:p>
    <w:p w14:paraId="2B4A0E67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2169D414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5. 数据统计与可视化模块</w:t>
      </w:r>
    </w:p>
    <w:p w14:paraId="63BB54F8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实现系统概览统计（在库包裹数、已取件数、已揽收数、未处理异常数），按年度/月度统计入库量和取件量，快递员当日工作量统计。通过后端提供图表数据接口，前端使用ECharts实现数据可视化展示。</w:t>
      </w:r>
    </w:p>
    <w:p w14:paraId="4B233004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6ADBC823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6. 定时任务模块</w:t>
      </w:r>
    </w:p>
    <w:p w14:paraId="720B7534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使用Spring @Scheduled注解实现两个定时任务：（1）每小时检查入库超过5天的包裹，自动标记为已出库；（2）每天凌晨2点清理已出库超过7天的包裹记录。避免快递柜资源被长期占用，提升系统自动化管理水平。</w:t>
      </w:r>
    </w:p>
    <w:p w14:paraId="3E52A836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040BEFA5">
      <w:pPr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28"/>
          <w:szCs w:val="28"/>
        </w:rPr>
        <w:t>三、实验环境</w:t>
      </w:r>
    </w:p>
    <w:p w14:paraId="1AF64D38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05E24DAF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软件环境：</w:t>
      </w:r>
    </w:p>
    <w:p w14:paraId="213674E6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 Web服务器: 内嵌Tomcat（Spring Boot默认）</w:t>
      </w:r>
    </w:p>
    <w:p w14:paraId="629A32F9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 数据库: MySQL 8.0.33 Community Server</w:t>
      </w:r>
    </w:p>
    <w:p w14:paraId="28516794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 数据库管理工具: Navicat / MySQL Workbench</w:t>
      </w:r>
    </w:p>
    <w:p w14:paraId="79A2FDE4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 构建工具: Maven 3.9+</w:t>
      </w:r>
    </w:p>
    <w:p w14:paraId="6F77C375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72143E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技术栈：</w:t>
      </w:r>
    </w:p>
    <w:p w14:paraId="74030476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 后端框架: Spring Boot 3.5.14</w:t>
      </w:r>
    </w:p>
    <w:p w14:paraId="5CEFDFBC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 持久层框架: MyBatis-Plus 3.5.7</w:t>
      </w:r>
    </w:p>
    <w:p w14:paraId="0856B344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 安全框架: Spring Security Crypto (BCrypt)</w:t>
      </w:r>
    </w:p>
    <w:p w14:paraId="1C4910AA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 日志框架: Log4j2</w:t>
      </w:r>
    </w:p>
    <w:p w14:paraId="0F5C3638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 前端框架: Vue 3 (Composition API)</w:t>
      </w:r>
    </w:p>
    <w:p w14:paraId="62DD91CC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 UI组件库: Element Plus</w:t>
      </w:r>
    </w:p>
    <w:p w14:paraId="59A61ADE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 路由管理: Vue Router 4 (Hash模式)</w:t>
      </w:r>
    </w:p>
    <w:p w14:paraId="6DD9A3E9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 HTTP客户端: Axios</w:t>
      </w:r>
    </w:p>
    <w:p w14:paraId="7D35BE53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cs="宋体"/>
          <w:b/>
          <w:bCs/>
          <w:sz w:val="24"/>
          <w:szCs w:val="24"/>
        </w:rPr>
        <w:t xml:space="preserve">   构建工具: Vue CLI / Webpack</w:t>
      </w:r>
    </w:p>
    <w:p w14:paraId="58F5401E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53A99B0F">
      <w:pPr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28"/>
          <w:szCs w:val="28"/>
        </w:rPr>
        <w:t>四、实验过程与分析</w:t>
      </w:r>
    </w:p>
    <w:p w14:paraId="634A42AB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01C0C73A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4.1 系统架构设计</w:t>
      </w:r>
    </w:p>
    <w:p w14:paraId="600730B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本系统采用前后端分离架构，前端基于Vue3 + Element-Plus构建SPA（单页面应用），后端基于Spring Boot提供RESTful API服务，前后端通过HTTP/JSON进行数据交互。系统中引入Session会话机制实现用户认证，配置CORS跨域支持前后端独立部署。</w:t>
      </w:r>
    </w:p>
    <w:p w14:paraId="29B82ECC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6AFC86CF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4.1.1 后端架构设计</w:t>
      </w:r>
    </w:p>
    <w:p w14:paraId="47A3904D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后端采用经典的分层架构，包括以下层次：</w:t>
      </w:r>
    </w:p>
    <w:p w14:paraId="1092351B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- Controller层：负责接收HTTP请求、参数校验、调用Service层并返回统一格式的Result响应。本项目包含7个Controller：AuthController（认证）、PackageController（包裹）、SendPackageController（寄件）、InboundPackageController（入库）、ErrorParcelController（异常包裹）、StatisticsController（统计）、AdminController（管理）。</w:t>
      </w:r>
    </w:p>
    <w:p w14:paraId="65C4EBE0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- Service层：负责业务逻辑处理，定义接口并通过ServiceImpl类实现。使用MyBatis-Plus的ServiceImpl基类简化CRUD操作。</w:t>
      </w:r>
    </w:p>
    <w:p w14:paraId="10837D5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- Mapper层：负责数据库访问，每个实体对应一个Mapper接口，继承MyBatis-Plus的BaseMapper获得基础CRUD能力。</w:t>
      </w:r>
    </w:p>
    <w:p w14:paraId="226A9A58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- Entity层：定义数据库表对应的实体类，使用@TableName注解关联表名。SendPackage和ErrorParcel实体中使用@TableField(exist=false)标注非数据库字段用于联表查询结果的承载。</w:t>
      </w:r>
    </w:p>
    <w:p w14:paraId="006E48DA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- DTO/VO层：DTO用于接收前端请求参数；VO用于封装返回给前端的视图数据。</w:t>
      </w:r>
    </w:p>
    <w:p w14:paraId="3F95AE7D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- Config层：配置CORS跨域（WebMvcConfig）、BCrypt密码编码器（PasswordConfig）、MyBatis-Plus分页插件（MybatisPlusConfig）。</w:t>
      </w:r>
    </w:p>
    <w:p w14:paraId="6C42BC12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- Security层：SessionInterceptor拦截器实现登录状态校验。</w:t>
      </w:r>
    </w:p>
    <w:p w14:paraId="21C9E626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- Exception层：BusinessException自定义业务异常类 + GlobalExceptionHandler全局异常处理器。</w:t>
      </w:r>
    </w:p>
    <w:p w14:paraId="098D053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EA94E7E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4.1.2 前端架构设计</w:t>
      </w:r>
    </w:p>
    <w:p w14:paraId="30A2BFCC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前端采用Vue3 SPA架构，使用Vue Router管理页面路由，Axios封装HTTP请求拦截器统一处理请求和响应。views目录下包含约20个功能页面组件，按角色权限动态展示菜单。utils目录封装了auth.js（用户认证管理）、request.js（HTTP请求）、fee.js（费用计算）等工具模块。</w:t>
      </w:r>
    </w:p>
    <w:p w14:paraId="39CF8820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1EC0097A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4.2 数据库设计</w:t>
      </w:r>
    </w:p>
    <w:p w14:paraId="1524C7DD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根据系统业务需求，设计了5张数据库表，表之间通过外键关联：</w:t>
      </w:r>
    </w:p>
    <w:p w14:paraId="213BB602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97F0BBE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4.2.1 system_user（系统用户表）</w:t>
      </w:r>
    </w:p>
    <w:p w14:paraId="442BD1E0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字段：id (BIGINT, PK, AUTO_INCREMENT), username (VARCHAR), password (VARCHAR, BCrypt加密), role (VARCHAR: REGULAR/COURIER/MANAGER), real_name (VARCHAR), phone (VARCHAR), address (VARCHAR), id_number (VARCHAR), message (VARCHAR), avatar (VARCHAR), status (INT: 1启用/0禁用), created_at (DATETIME), updated_at (DATETIME)。</w:t>
      </w:r>
    </w:p>
    <w:p w14:paraId="2B6C917A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4C8E448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4.2.2 package（包裹信息表）</w:t>
      </w:r>
    </w:p>
    <w:p w14:paraId="6137C8D8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字段：id (BIGINT, PK, AUTO_INCREMENT), tracking_number (VARCHAR, UNIQUE), package_name (VARCHAR), weight (DOUBLE), volume (DOUBLE), sender_name (VARCHAR), sender_phone (VARCHAR), sender_address (VARCHAR), receiver_name (VARCHAR), receiver_phone (VARCHAR), receiver_address (VARCHAR), notes (VARCHAR), created_at (DATETIME), updated_at (DATETIME)。</w:t>
      </w:r>
    </w:p>
    <w:p w14:paraId="00E99404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0D16ABE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4.2.3 send_package（寄件订单表）</w:t>
      </w:r>
    </w:p>
    <w:p w14:paraId="39423E4E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字段：id (BIGINT, PK, AUTO_INCREMENT), package_id (BIGINT, FK→package.id), fee (DOUBLE), is_paid (INT), pickup_method (VARCHAR), appointment_time (VARCHAR), status (VARCHAR: SUBMITTED→APPROVED→PAID→COLLECTED/REJECTED), created_by (BIGINT), courier_id (BIGINT), created_at, updated_at, approved_at, paid_at, collected_at (DATETIME)。</w:t>
      </w:r>
    </w:p>
    <w:p w14:paraId="4D34FB93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6CDF126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4.2.4 inbound_package（入库包裹表）</w:t>
      </w:r>
    </w:p>
    <w:p w14:paraId="24E12CAC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字段：id (BIGINT, PK, AUTO_INCREMENT), package_id (BIGINT, FK→package.id), pickup_code (VARCHAR), cabinet_type (VARCHAR: SMALL/MEDIUM/LARGE), proxy_phone (VARCHAR), status (VARCHAR: PENDING→IN_WAREHOUSE→CHECKED_OUT), is_auto_checkout (INT), entered_by (BIGINT), enter_time, out_time, auto_checkout_time, created_at, updated_at (DATETIME)。</w:t>
      </w:r>
    </w:p>
    <w:p w14:paraId="63557FB7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346E2419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4.2.5 error_parcel（异常包裹表）</w:t>
      </w:r>
    </w:p>
    <w:p w14:paraId="3FFCF2A0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字段：id (BIGINT, PK, AUTO_INCREMENT), package_id (BIGINT, FK→package.id), error_type (VARCHAR), description (VARCHAR), reported_by (VARCHAR), handler_name (VARCHAR), handle_result (VARCHAR), handle_time (DATETIME), status (VARCHAR: UNRESOLVED/RESOLVED), created_at, updated_at (DATETIME)。</w:t>
      </w:r>
    </w:p>
    <w:p w14:paraId="086F22A9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1C45DD37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表关系说明：package表是核心业务表，send_package、inbound_package、error_parcel三张表均通过package_id外键与package表关联，构成以package为中心的星型结构。system_user表通过created_by、entered_by、courier_id等字段与其他业务表关联。</w:t>
      </w:r>
    </w:p>
    <w:p w14:paraId="060C95F6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118A3570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4.3 核心功能实现（附关键代码）</w:t>
      </w:r>
    </w:p>
    <w:p w14:paraId="5D8785BB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3DE6051C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4.3.1 用户认证与权限控制</w:t>
      </w:r>
    </w:p>
    <w:p w14:paraId="27DF9804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10E4049C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（a）BCrypt密码加密配置</w:t>
      </w:r>
    </w:p>
    <w:p w14:paraId="6B2C89F7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系统使用Spring Security Crypto提供的BCryptPasswordEncoder对用户密码进行加密，确保即使数据库泄露也不会暴露用户明文密码。配置类PasswordConfig如下：</w:t>
      </w:r>
    </w:p>
    <w:p w14:paraId="24FD44BA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25222A4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@Configuration</w:t>
      </w:r>
    </w:p>
    <w:p w14:paraId="398E04D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public class PasswordConfig {</w:t>
      </w:r>
    </w:p>
    <w:p w14:paraId="3CFBC3C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@Bean</w:t>
      </w:r>
    </w:p>
    <w:p w14:paraId="2BD5014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public BCryptPasswordEncoder passwordEncoder() {</w:t>
      </w:r>
    </w:p>
    <w:p w14:paraId="5B126249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return new BCryptPasswordEncoder();</w:t>
      </w:r>
    </w:p>
    <w:p w14:paraId="5DE2B4E5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</w:t>
      </w:r>
    </w:p>
    <w:p w14:paraId="4CC76AE3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}</w:t>
      </w:r>
    </w:p>
    <w:p w14:paraId="4277B6C0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E4B0783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注册时调用 passwordEncoder.encode() 将明文密码加密后存储，登录时调用 passwordEncoder.matches() 比对密码，全程不涉及明文传输与存储。</w:t>
      </w:r>
    </w:p>
    <w:p w14:paraId="5725DEF2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682BF0B6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（b）Session登录与拦截器</w:t>
      </w:r>
    </w:p>
    <w:p w14:paraId="68CE55D7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登录成功后，将 userId、username、role 三个关键属性存入 HttpSession。SessionInterceptor 拦截除白名单外的所有请求进行登录校验：</w:t>
      </w:r>
    </w:p>
    <w:p w14:paraId="274F4BB3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36E0471D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@Component</w:t>
      </w:r>
    </w:p>
    <w:p w14:paraId="73AA36E2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public class SessionInterceptor implements HandlerInterceptor {</w:t>
      </w:r>
    </w:p>
    <w:p w14:paraId="32008721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@Override</w:t>
      </w:r>
    </w:p>
    <w:p w14:paraId="4723981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public boolean preHandle(HttpServletRequest request,</w:t>
      </w:r>
    </w:p>
    <w:p w14:paraId="50CD7CA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                  HttpServletResponse response,</w:t>
      </w:r>
    </w:p>
    <w:p w14:paraId="22261908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                  Object handler) {</w:t>
      </w:r>
    </w:p>
    <w:p w14:paraId="2AB6D139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if ("OPTIONS".equalsIgnoreCase(request.getMethod())) {</w:t>
      </w:r>
    </w:p>
    <w:p w14:paraId="19802EB2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return true;</w:t>
      </w:r>
    </w:p>
    <w:p w14:paraId="418EF8A1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}</w:t>
      </w:r>
    </w:p>
    <w:p w14:paraId="25185B35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HttpSession session = request.getSession(false);</w:t>
      </w:r>
    </w:p>
    <w:p w14:paraId="6B229C89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if (session == null || session.getAttribute("userId") == null) {</w:t>
      </w:r>
    </w:p>
    <w:p w14:paraId="54B80955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response.setStatus(401);</w:t>
      </w:r>
    </w:p>
    <w:p w14:paraId="2D0040C8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return false;</w:t>
      </w:r>
    </w:p>
    <w:p w14:paraId="407B72CC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}</w:t>
      </w:r>
    </w:p>
    <w:p w14:paraId="2652EC28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return true;</w:t>
      </w:r>
    </w:p>
    <w:p w14:paraId="676E37D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</w:t>
      </w:r>
    </w:p>
    <w:p w14:paraId="117272AA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}</w:t>
      </w:r>
    </w:p>
    <w:p w14:paraId="17E8FB14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0F1B07B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白名单路径包括：/auth/login、/auth/register、/auth/forgot-password、/admin/**、/inbound/public-search、/inbound/public-checkout，这些接口无需登录即可访问。</w:t>
      </w:r>
    </w:p>
    <w:p w14:paraId="08CB1F96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1E775092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（c）前端路由守卫</w:t>
      </w:r>
    </w:p>
    <w:p w14:paraId="3EC72452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前端在 router/index.js 中通过 beforeEach 守卫根据用户角色控制页面访问权限：</w:t>
      </w:r>
    </w:p>
    <w:p w14:paraId="3AE6415E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4A0274CE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router.beforeEach((to, from, next) =&gt; {</w:t>
      </w:r>
    </w:p>
    <w:p w14:paraId="5C25E22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const user = getUserInfo()</w:t>
      </w:r>
    </w:p>
    <w:p w14:paraId="5C35AB6E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if (to.meta.noAuth) return next()</w:t>
      </w:r>
    </w:p>
    <w:p w14:paraId="0A8630F2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if (!user) return next('/login')</w:t>
      </w:r>
    </w:p>
    <w:p w14:paraId="0BA45FE3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if (to.meta.role &amp;&amp; user.role !== to.meta.role)</w:t>
      </w:r>
    </w:p>
    <w:p w14:paraId="47874B8D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return next('/Welcome')</w:t>
      </w:r>
    </w:p>
    <w:p w14:paraId="1C4C8AAA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next()</w:t>
      </w:r>
    </w:p>
    <w:p w14:paraId="411D1E0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})</w:t>
      </w:r>
    </w:p>
    <w:p w14:paraId="32595613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551541F1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（d）统一API响应格式</w:t>
      </w:r>
    </w:p>
    <w:p w14:paraId="00D87398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后端所有接口统一使用 Result&lt;T&gt; 泛型类封装响应，包含状态码、消息和数据三个字段：</w:t>
      </w:r>
    </w:p>
    <w:p w14:paraId="53A0F307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B618900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public class Result&lt;T&gt; {</w:t>
      </w:r>
    </w:p>
    <w:p w14:paraId="50ED6C2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private int code;</w:t>
      </w:r>
    </w:p>
    <w:p w14:paraId="6C3E5691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private String message;</w:t>
      </w:r>
    </w:p>
    <w:p w14:paraId="51FFA669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private T data;</w:t>
      </w:r>
    </w:p>
    <w:p w14:paraId="2BBACF11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0A455151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public static &lt;T&gt; Result&lt;T&gt; ok(T data) {</w:t>
      </w:r>
    </w:p>
    <w:p w14:paraId="480FC8C5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return new Result&lt;&gt;(200, "success", data);</w:t>
      </w:r>
    </w:p>
    <w:p w14:paraId="35D65B10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</w:t>
      </w:r>
    </w:p>
    <w:p w14:paraId="1BFF6B71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01F2D5E9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public static &lt;T&gt; Result&lt;T&gt; fail(int code, String message) {</w:t>
      </w:r>
    </w:p>
    <w:p w14:paraId="048B8852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return new Result&lt;&gt;(code, message, null);</w:t>
      </w:r>
    </w:p>
    <w:p w14:paraId="4543EC13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</w:t>
      </w:r>
    </w:p>
    <w:p w14:paraId="1F246C80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}</w:t>
      </w:r>
    </w:p>
    <w:p w14:paraId="59FB2366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5636DDB9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全局异常处理器 GlobalExceptionHandler 捕获 BusinessException 返回业务错误，捕获未知 Exception 返回500内部错误，保证所有接口响应格式统一。</w:t>
      </w:r>
    </w:p>
    <w:p w14:paraId="246DE87C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73FF41FB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4.3.2 包裹寄送流程</w:t>
      </w:r>
    </w:p>
    <w:p w14:paraId="321D07AB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6298C7EB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用户提交寄件申请后，系统在同一个 @Transactional 事务中完成包裹记录创建和寄件订单创建，保证数据一致性：</w:t>
      </w:r>
    </w:p>
    <w:p w14:paraId="4191A3C6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17F413E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@Override</w:t>
      </w:r>
    </w:p>
    <w:p w14:paraId="163D1D2A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@Transactional</w:t>
      </w:r>
    </w:p>
    <w:p w14:paraId="7631259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public SendPackage createSendPackage(SendPackageRequest request,</w:t>
      </w:r>
    </w:p>
    <w:p w14:paraId="3F71FCC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                          Long userId) {</w:t>
      </w:r>
    </w:p>
    <w:p w14:paraId="42DC2143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// 1. 生成唯一快递单号（SP + 时间戳 + 4位随机码）</w:t>
      </w:r>
    </w:p>
    <w:p w14:paraId="46429A7D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Package pkg = new Package();</w:t>
      </w:r>
    </w:p>
    <w:p w14:paraId="559F877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pkg.setTrackingNumber("SP" +</w:t>
      </w:r>
    </w:p>
    <w:p w14:paraId="579948A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LocalDateTime.now()</w:t>
      </w:r>
    </w:p>
    <w:p w14:paraId="21C55057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.format(DateTimeFormatter.ofPattern("yyyyMMddHHmmss"))</w:t>
      </w:r>
    </w:p>
    <w:p w14:paraId="6B8DDEE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+ UUID.randomUUID().toString().substring(0, 4).toUpperCase());</w:t>
      </w:r>
    </w:p>
    <w:p w14:paraId="135E308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pkg.setPackageName(request.getPackageName());</w:t>
      </w:r>
    </w:p>
    <w:p w14:paraId="05C3CE15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pkg.setWeight(request.getWeight());</w:t>
      </w:r>
    </w:p>
    <w:p w14:paraId="69A2A325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// ... 设置寄件人/收件人信息字段 ...</w:t>
      </w:r>
    </w:p>
    <w:p w14:paraId="2E2933C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packageMapper.insert(pkg);</w:t>
      </w:r>
    </w:p>
    <w:p w14:paraId="749BCF00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4B9A2C29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// 2. 创建寄件订单（初始状态 SUBMITTED）</w:t>
      </w:r>
    </w:p>
    <w:p w14:paraId="5E93AF9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SendPackage sp = new SendPackage();</w:t>
      </w:r>
    </w:p>
    <w:p w14:paraId="1AA4FEE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sp.setPackageId(pkg.getId());</w:t>
      </w:r>
    </w:p>
    <w:p w14:paraId="24E7838E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sp.setPickupMethod(request.getPickupMethod());</w:t>
      </w:r>
    </w:p>
    <w:p w14:paraId="3D58139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sp.setCreatedBy(userId);</w:t>
      </w:r>
    </w:p>
    <w:p w14:paraId="37E75F3A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sp.setStatus("SUBMITTED");</w:t>
      </w:r>
    </w:p>
    <w:p w14:paraId="5CCD630C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sp.setFee(calculateFee(pkg.getWeight()));</w:t>
      </w:r>
    </w:p>
    <w:p w14:paraId="1E42C60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baseMapper.insert(sp);</w:t>
      </w:r>
    </w:p>
    <w:p w14:paraId="3FFECE70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return sp;</w:t>
      </w:r>
    </w:p>
    <w:p w14:paraId="5C5FC99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}</w:t>
      </w:r>
    </w:p>
    <w:p w14:paraId="2995CB2B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7E22F459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运费计算采用阶梯定价：≤1kg: 10元，1~5kg: 15元，5~10kg: 25元，10~20kg: 40元，&gt;20kg 基础60元 + 超额部分 3元/kg。</w:t>
      </w:r>
    </w:p>
    <w:p w14:paraId="08D2713F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7307C8E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订单状态流转遵循严格的状态机设计：管理员审核（SUBMITTED → APPROVED），审核时自动随机分配在线快递员；用户支付（APPROVED → PAID）；快递员揽收（PAID → COLLECTED）；管理员也可拒绝（SUBMITTED → REJECTED）。每个状态转换均有前置条件校验，防止非法跳转。</w:t>
      </w:r>
    </w:p>
    <w:p w14:paraId="62BD62A9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57A6E520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4.3.3 入库管理与取件码生成</w:t>
      </w:r>
    </w:p>
    <w:p w14:paraId="67F9A4E3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55C2D8E6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快递员扫描快递单号入库时，系统根据包裹体积自动判断柜型并生成取件码：</w:t>
      </w:r>
    </w:p>
    <w:p w14:paraId="2DEB51EB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61D338E2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@Override</w:t>
      </w:r>
    </w:p>
    <w:p w14:paraId="37948D42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@Transactional</w:t>
      </w:r>
    </w:p>
    <w:p w14:paraId="2F4DA407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public String warehouseEntry(String trackingNumber, Long courierId) {</w:t>
      </w:r>
    </w:p>
    <w:p w14:paraId="630D7113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Package pkg = packageMapper.selectOne(</w:t>
      </w:r>
    </w:p>
    <w:p w14:paraId="2A94DA58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new QueryWrapper&lt;Package&gt;()</w:t>
      </w:r>
    </w:p>
    <w:p w14:paraId="64B310C2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.eq("tracking_number", trackingNumber));</w:t>
      </w:r>
    </w:p>
    <w:p w14:paraId="6705329C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7626DD27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// 根据体积自动判断柜型</w:t>
      </w:r>
    </w:p>
    <w:p w14:paraId="76CC062D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double volume = pkg.getVolume() != null ? pkg.getVolume() : 0;</w:t>
      </w:r>
    </w:p>
    <w:p w14:paraId="7E0AEA5A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String cabinetType; int cabinetNum;</w:t>
      </w:r>
    </w:p>
    <w:p w14:paraId="7D4719D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if (volume &lt; 12000) {</w:t>
      </w:r>
    </w:p>
    <w:p w14:paraId="62183FF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cabinetType = "SMALL";   cabinetNum = random(1, 50);</w:t>
      </w:r>
    </w:p>
    <w:p w14:paraId="1B6966B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 else if (volume &gt; 125000) {</w:t>
      </w:r>
    </w:p>
    <w:p w14:paraId="1345D84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cabinetType = "LARGE";   cabinetNum = random(101, 150);</w:t>
      </w:r>
    </w:p>
    <w:p w14:paraId="3E0F1F5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 else {</w:t>
      </w:r>
    </w:p>
    <w:p w14:paraId="0A7D8E17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cabinetType = "MEDIUM";  cabinetNum = random(51, 100);</w:t>
      </w:r>
    </w:p>
    <w:p w14:paraId="084130C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</w:t>
      </w:r>
    </w:p>
    <w:p w14:paraId="63562240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08C8E231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// 生成结构化取件码：柜号-随机数-随机数</w:t>
      </w:r>
    </w:p>
    <w:p w14:paraId="2FD4814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String pickupCode = String.format("%02d-%d-%04d",</w:t>
      </w:r>
    </w:p>
    <w:p w14:paraId="31456A27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cabinetNum,</w:t>
      </w:r>
    </w:p>
    <w:p w14:paraId="53E71A2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(int)(Math.random() * 9) + 1,</w:t>
      </w:r>
    </w:p>
    <w:p w14:paraId="10F8DC29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(int)(Math.random() * 9000) + 1000);</w:t>
      </w:r>
    </w:p>
    <w:p w14:paraId="72357B41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3E3BD311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inbound.setPickupCode(pickupCode);</w:t>
      </w:r>
    </w:p>
    <w:p w14:paraId="3A939AC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inbound.setCabinetType(cabinetType);</w:t>
      </w:r>
    </w:p>
    <w:p w14:paraId="4033037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inbound.setStatus("IN_WAREHOUSE");</w:t>
      </w:r>
    </w:p>
    <w:p w14:paraId="1FF6396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inbound.setEnterTime(LocalDateTime.now());</w:t>
      </w:r>
    </w:p>
    <w:p w14:paraId="16E4ECF2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baseMapper.updateById(inbound);</w:t>
      </w:r>
    </w:p>
    <w:p w14:paraId="04457A4C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return pickupCode;</w:t>
      </w:r>
    </w:p>
    <w:p w14:paraId="433C1790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}</w:t>
      </w:r>
    </w:p>
    <w:p w14:paraId="57F38E8E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58E4C827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公开取件（PublicCheckout）无需登录，用户输入快递单号+手机号即可取件，出库后系统提示同一收件人是否还有其他待取包裹。</w:t>
      </w:r>
    </w:p>
    <w:p w14:paraId="6F01D9EC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1608CB5A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4.3.4 异常包裹处理</w:t>
      </w:r>
    </w:p>
    <w:p w14:paraId="089B8EE6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567CD75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用户登记异常时，系统通过快递单号定位包裹并创建异常记录：</w:t>
      </w:r>
    </w:p>
    <w:p w14:paraId="1CCEC68A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943242C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@Override</w:t>
      </w:r>
    </w:p>
    <w:p w14:paraId="3E43BA9C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@Transactional</w:t>
      </w:r>
    </w:p>
    <w:p w14:paraId="5C95013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public ErrorParcel registerError(String trackingNumber,</w:t>
      </w:r>
    </w:p>
    <w:p w14:paraId="1F87AE92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String errorType, String description, String reportedBy) {</w:t>
      </w:r>
    </w:p>
    <w:p w14:paraId="57F1C713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Package pkg = packageMapper.selectOne(</w:t>
      </w:r>
    </w:p>
    <w:p w14:paraId="3E2D6EE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new QueryWrapper&lt;Package&gt;()</w:t>
      </w:r>
    </w:p>
    <w:p w14:paraId="50AE574C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.eq("tracking_number", trackingNumber));</w:t>
      </w:r>
    </w:p>
    <w:p w14:paraId="75C20213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if (pkg == null) throw new BusinessException("快递单号不存在");</w:t>
      </w:r>
    </w:p>
    <w:p w14:paraId="75808B0A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0196C84D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ErrorParcel error = new ErrorParcel();</w:t>
      </w:r>
    </w:p>
    <w:p w14:paraId="143803C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error.setPackageId(pkg.getId());</w:t>
      </w:r>
    </w:p>
    <w:p w14:paraId="4AC6C3C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error.setErrorType(errorType);</w:t>
      </w:r>
    </w:p>
    <w:p w14:paraId="2115BB2C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error.setDescription(description);</w:t>
      </w:r>
    </w:p>
    <w:p w14:paraId="3165C5C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error.setReportedBy(reportedBy);</w:t>
      </w:r>
    </w:p>
    <w:p w14:paraId="11A7A6AE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error.setStatus("UNRESOLVED");</w:t>
      </w:r>
    </w:p>
    <w:p w14:paraId="679F86A5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baseMapper.insert(error);</w:t>
      </w:r>
    </w:p>
    <w:p w14:paraId="5DEDEFC3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return error;</w:t>
      </w:r>
    </w:p>
    <w:p w14:paraId="6A124BAA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}</w:t>
      </w:r>
    </w:p>
    <w:p w14:paraId="72433ED3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160D2E9A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管理员处理异常时记录处理人、处理结果和处理时间，状态从 UNRESOLVED 更新为 RESOLVED。</w:t>
      </w:r>
    </w:p>
    <w:p w14:paraId="39BE5C2F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A9C610F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4.3.5 包裹追踪（多表关联查询）</w:t>
      </w:r>
    </w:p>
    <w:p w14:paraId="29D5BE2F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67AA07A3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包裹追踪功能一次查询 package、inbound_package、send_package 三张表，组装完整的包裹状态信息：</w:t>
      </w:r>
    </w:p>
    <w:p w14:paraId="3EB46E10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7E58702A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public Map&lt;String, Object&gt; track(String trackingNumber) {</w:t>
      </w:r>
    </w:p>
    <w:p w14:paraId="552039F8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// 1. 查主表 → 包裹基本信息</w:t>
      </w:r>
    </w:p>
    <w:p w14:paraId="725843C0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Package pkg = baseMapper.selectOne(</w:t>
      </w:r>
    </w:p>
    <w:p w14:paraId="11F0D03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new QueryWrapper&lt;Package&gt;()</w:t>
      </w:r>
    </w:p>
    <w:p w14:paraId="29E96A1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.eq("tracking_number", trackingNumber));</w:t>
      </w:r>
    </w:p>
    <w:p w14:paraId="3D2FE367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Map&lt;String, Object&gt; result = new LinkedHashMap&lt;&gt;();</w:t>
      </w:r>
    </w:p>
    <w:p w14:paraId="534F88C7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// ... 填充 trackingNumber, packageName, weight 等字段 ...</w:t>
      </w:r>
    </w:p>
    <w:p w14:paraId="687B47F1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6EB4F6CC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// 2. 查入库表 → 补全入库状态、柜型、取件码</w:t>
      </w:r>
    </w:p>
    <w:p w14:paraId="5236F173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InboundPackage inbound = inboundPackageMapper.selectOne(</w:t>
      </w:r>
    </w:p>
    <w:p w14:paraId="46DD0170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new QueryWrapper&lt;InboundPackage&gt;()</w:t>
      </w:r>
    </w:p>
    <w:p w14:paraId="32B2CE5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.eq("package_id", pkg.getId()));</w:t>
      </w:r>
    </w:p>
    <w:p w14:paraId="4B8FDF91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if (inbound != null) {</w:t>
      </w:r>
    </w:p>
    <w:p w14:paraId="4AF6A98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result.put("inboundStatus", inbound.getStatus());</w:t>
      </w:r>
    </w:p>
    <w:p w14:paraId="019D7ED3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result.put("cabinetType", inbound.getCabinetType());</w:t>
      </w:r>
    </w:p>
    <w:p w14:paraId="71D0E3D3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result.put("pickupCode", inbound.getPickupCode());</w:t>
      </w:r>
    </w:p>
    <w:p w14:paraId="77092C00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</w:t>
      </w:r>
    </w:p>
    <w:p w14:paraId="6D2C80AC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5DAD3266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// 3. 查寄件表 → 补全寄件状态、费用</w:t>
      </w:r>
    </w:p>
    <w:p w14:paraId="58F3CCB8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SendPackage sp = sendPackageMapper.selectOne(</w:t>
      </w:r>
    </w:p>
    <w:p w14:paraId="6C3CA762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new QueryWrapper&lt;SendPackage&gt;()</w:t>
      </w:r>
    </w:p>
    <w:p w14:paraId="7C26387A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.eq("package_id", pkg.getId()));</w:t>
      </w:r>
    </w:p>
    <w:p w14:paraId="69FE132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if (sp != null) {</w:t>
      </w:r>
    </w:p>
    <w:p w14:paraId="75FF2FD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result.put("sendStatus", sp.getStatus());</w:t>
      </w:r>
    </w:p>
    <w:p w14:paraId="0134D378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result.put("fee", sp.getFee());</w:t>
      </w:r>
    </w:p>
    <w:p w14:paraId="31DE5A97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</w:t>
      </w:r>
    </w:p>
    <w:p w14:paraId="2945B3E9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return result;</w:t>
      </w:r>
    </w:p>
    <w:p w14:paraId="3D04C2A7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}</w:t>
      </w:r>
    </w:p>
    <w:p w14:paraId="4A01F668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30A4B203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多字段模糊搜索使用 MyBatis-Plus 的 QueryWrapper 动态构建查询条件：</w:t>
      </w:r>
    </w:p>
    <w:p w14:paraId="4567982B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560ECD8E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wrapper.and(w -&gt; w</w:t>
      </w:r>
    </w:p>
    <w:p w14:paraId="7536BF92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.like("tracking_number", keyword)</w:t>
      </w:r>
    </w:p>
    <w:p w14:paraId="7E787CED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.or().like("receiver_name", keyword)</w:t>
      </w:r>
    </w:p>
    <w:p w14:paraId="45B978BC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.or().like("receiver_phone", keyword)</w:t>
      </w:r>
    </w:p>
    <w:p w14:paraId="55D16A64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.or().like("sender_name", keyword)</w:t>
      </w:r>
    </w:p>
    <w:p w14:paraId="6E21F1C2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.or().like("sender_phone", keyword));</w:t>
      </w:r>
    </w:p>
    <w:p w14:paraId="4E3721DA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67012367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4.3.6 数据统计与定时任务</w:t>
      </w:r>
    </w:p>
    <w:p w14:paraId="6D3F91E4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39E05BCD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StatisticsController 提供四个统计接口：/statistics/overview（在库/已出库/已揽收/未处理异常概览）、/statistics/monthly（月度入库/取件趋势）、/statistics/chart（ECharts 图表数据）、/statistics/courier-overview（快递员当日工作量）。</w:t>
      </w:r>
    </w:p>
    <w:p w14:paraId="63D103B4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EA32133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定时自动出库任务使用 @Scheduled 注解实现，启动类通过 @EnableScheduling 开启：</w:t>
      </w:r>
    </w:p>
    <w:p w14:paraId="7C19238A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18BE79C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@Component</w:t>
      </w:r>
    </w:p>
    <w:p w14:paraId="09C08D0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public class AutoCheckoutScheduler {</w:t>
      </w:r>
    </w:p>
    <w:p w14:paraId="2D615749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73745650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@Scheduled(cron = "0 0 * * * ?")   // 每小时执行</w:t>
      </w:r>
    </w:p>
    <w:p w14:paraId="12ADAD0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public void autoCheckout() {</w:t>
      </w:r>
    </w:p>
    <w:p w14:paraId="798C3A2E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LocalDateTime fiveDaysAgo = LocalDateTime.now().minusDays(5);</w:t>
      </w:r>
    </w:p>
    <w:p w14:paraId="3B203361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InboundPackage update = new InboundPackage();</w:t>
      </w:r>
    </w:p>
    <w:p w14:paraId="458838CD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update.setStatus("CHECKED_OUT");</w:t>
      </w:r>
    </w:p>
    <w:p w14:paraId="0EFB47BC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update.setIsAutoCheckout(1);</w:t>
      </w:r>
    </w:p>
    <w:p w14:paraId="5F8AF587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update.setOutTime(LocalDateTime.now());</w:t>
      </w:r>
    </w:p>
    <w:p w14:paraId="475117D0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4616E250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QueryWrapper&lt;InboundPackage&gt; wrapper = new QueryWrapper&lt;&gt;();</w:t>
      </w:r>
    </w:p>
    <w:p w14:paraId="4D6C581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wrapper.eq("status", "IN_WAREHOUSE")</w:t>
      </w:r>
    </w:p>
    <w:p w14:paraId="4B8B1AB8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   .lt("enter_time", fiveDaysAgo);</w:t>
      </w:r>
    </w:p>
    <w:p w14:paraId="7332A545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int count = inboundPackageMapper.update(update, wrapper);</w:t>
      </w:r>
    </w:p>
    <w:p w14:paraId="341F2D11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log.info("Auto-checkout: {} packages checked out", count);</w:t>
      </w:r>
    </w:p>
    <w:p w14:paraId="0536E291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</w:t>
      </w:r>
    </w:p>
    <w:p w14:paraId="4F6C7FBC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7FDEEF32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@Scheduled(cron = "0 0 2 * * ?")   // 每天凌晨2点</w:t>
      </w:r>
    </w:p>
    <w:p w14:paraId="3B0DB295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public void autoDelete() {</w:t>
      </w:r>
    </w:p>
    <w:p w14:paraId="7B64836D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// 清理已出库超过7天的记录</w:t>
      </w:r>
    </w:p>
    <w:p w14:paraId="48FB0FC5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LocalDateTime sevenDaysAgo = LocalDateTime.now().minusDays(7);</w:t>
      </w:r>
    </w:p>
    <w:p w14:paraId="75B0B4CD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QueryWrapper&lt;InboundPackage&gt; wrapper = new QueryWrapper&lt;&gt;();</w:t>
      </w:r>
    </w:p>
    <w:p w14:paraId="0162D9CD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wrapper.eq("status", "CHECKED_OUT")</w:t>
      </w:r>
    </w:p>
    <w:p w14:paraId="0C894AEB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       .lt("out_time", sevenDaysAgo);</w:t>
      </w:r>
    </w:p>
    <w:p w14:paraId="4CEFB8D1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int count = inboundPackageMapper.delete(wrapper);</w:t>
      </w:r>
    </w:p>
    <w:p w14:paraId="67D233D5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  log.info("Auto-delete: {} records deleted", count);</w:t>
      </w:r>
    </w:p>
    <w:p w14:paraId="1E4E016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</w:t>
      </w:r>
    </w:p>
    <w:p w14:paraId="2A1EF2A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}</w:t>
      </w:r>
    </w:p>
    <w:p w14:paraId="1CE0D527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1448DFC8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4.3.7 前端关键实现</w:t>
      </w:r>
    </w:p>
    <w:p w14:paraId="185BB0B0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716B4099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Axios 请求拦截器（utils/request.js）统一配置 baseURL、withCredentials（跨域携带 Cookie 支持 Session），并拦截响应统一处理业务异常和401未登录跳转：</w:t>
      </w:r>
    </w:p>
    <w:p w14:paraId="12029922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6981A08E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const request = axios.create({</w:t>
      </w:r>
    </w:p>
    <w:p w14:paraId="27356585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baseURL: '/webapp',</w:t>
      </w:r>
    </w:p>
    <w:p w14:paraId="6D6CFD7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timeout: 15000,</w:t>
      </w:r>
    </w:p>
    <w:p w14:paraId="150AD0E3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withCredentials: true       // 跨域携带Cookie</w:t>
      </w:r>
    </w:p>
    <w:p w14:paraId="6EC7DC80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})</w:t>
      </w:r>
    </w:p>
    <w:p w14:paraId="660A7F7B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4F95374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request.interceptors.response.use(</w:t>
      </w:r>
    </w:p>
    <w:p w14:paraId="3C3E69DC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response =&gt; {</w:t>
      </w:r>
    </w:p>
    <w:p w14:paraId="761290FC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const data = response.data</w:t>
      </w:r>
    </w:p>
    <w:p w14:paraId="023A7B4F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if (data.code !== 200) {   // 业务级异常</w:t>
      </w:r>
    </w:p>
    <w:p w14:paraId="2179AC3F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ElMessage.error(data.message || '请求失败')</w:t>
      </w:r>
    </w:p>
    <w:p w14:paraId="180E8C3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return Promise.reject(new Error(data.message))</w:t>
      </w:r>
    </w:p>
    <w:p w14:paraId="69EEBC90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</w:t>
      </w:r>
    </w:p>
    <w:p w14:paraId="3039A918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return data</w:t>
      </w:r>
    </w:p>
    <w:p w14:paraId="016A24FF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},</w:t>
      </w:r>
    </w:p>
    <w:p w14:paraId="13E70E47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error =&gt; {</w:t>
      </w:r>
    </w:p>
    <w:p w14:paraId="2C352294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if (error.response?.status === 401) {  // 未登录</w:t>
      </w:r>
    </w:p>
    <w:p w14:paraId="5D886918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clearAuth()</w:t>
      </w:r>
    </w:p>
    <w:p w14:paraId="0F86B8AB">
      <w:pPr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ElMessage.error('登录已过期，请重新登录')</w:t>
      </w:r>
    </w:p>
    <w:p w14:paraId="3D27477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  window.location.href = '/#/login'</w:t>
      </w:r>
    </w:p>
    <w:p w14:paraId="6571B631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}</w:t>
      </w:r>
    </w:p>
    <w:p w14:paraId="6837A196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  return Promise.reject(error)</w:t>
      </w:r>
    </w:p>
    <w:p w14:paraId="50675943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 xml:space="preserve">  }</w:t>
      </w:r>
    </w:p>
    <w:p w14:paraId="03492927">
      <w:pPr>
        <w:shd w:val="clear" w:color="auto" w:fill="F0F0F0"/>
        <w:spacing w:line="360" w:lineRule="auto"/>
        <w:ind w:left="480" w:firstLine="341" w:firstLineChars="200"/>
        <w:rPr>
          <w:rFonts w:ascii="Consolas" w:hAnsi="Consolas" w:cs="宋体"/>
          <w:b/>
          <w:bCs/>
          <w:color w:val="333333"/>
          <w:sz w:val="17"/>
          <w:szCs w:val="24"/>
        </w:rPr>
      </w:pPr>
      <w:r>
        <w:rPr>
          <w:rFonts w:hint="eastAsia" w:ascii="Consolas" w:hAnsi="Consolas" w:cs="宋体"/>
          <w:b/>
          <w:bCs/>
          <w:color w:val="333333"/>
          <w:sz w:val="17"/>
          <w:szCs w:val="24"/>
        </w:rPr>
        <w:t>)</w:t>
      </w:r>
    </w:p>
    <w:p w14:paraId="702D8F29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4E3CCF16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用户认证管理工具（utils/auth.js）使用 sessionStorage 存储登录态（关闭浏览器自动清除），localStorage 存储"记住密码"凭证。</w:t>
      </w:r>
    </w:p>
    <w:p w14:paraId="76078167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2DDB28CE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4.4 实验结果</w:t>
      </w:r>
    </w:p>
    <w:p w14:paraId="1F425A7E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经过完整的开发、调试和测试，系统实现了以下功能：</w:t>
      </w:r>
    </w:p>
    <w:p w14:paraId="104F20FE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（1）用户注册、登录、忘记密码、个人信息修改功能正常，BCrypt密码加密存储有效；</w:t>
      </w:r>
    </w:p>
    <w:p w14:paraId="1336A7E3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（2）Session认证和角色权限控制正确，三种角色登录后展示不同的功能菜单；</w:t>
      </w:r>
    </w:p>
    <w:p w14:paraId="746CAA4B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（3）包裹寄送全流程（创建→审核→支付→揽收）运行正常，状态流转逻辑正确，异常状态跳转被正确拦截；</w:t>
      </w:r>
    </w:p>
    <w:p w14:paraId="258EE9C7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（4）入库管理和取件码生成功能正常，柜型根据体积自动判断，取件码格式符合设计规范；</w:t>
      </w:r>
    </w:p>
    <w:p w14:paraId="33F62976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（5）公开查件和公开取件功能可用（免登录），手机号验证逻辑正确，支持代取人授权；</w:t>
      </w:r>
    </w:p>
    <w:p w14:paraId="6E55CFD7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（6）异常包裹登记和处理流程完整，按状态筛选功能正常；</w:t>
      </w:r>
    </w:p>
    <w:p w14:paraId="3E0D2618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（7）包裹追踪功能正确关联三张表（package + inbound_package + send_package），搜索功能支持多字段模糊匹配和分页；</w:t>
      </w:r>
    </w:p>
    <w:p w14:paraId="1096ED35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（8）数据统计接口返回数据正确，ECharts图表正常渲染；</w:t>
      </w:r>
    </w:p>
    <w:p w14:paraId="7DFC3FE3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（9）定时自动出库（每小时）和自动清理（每天凌晨2点）任务按计划执行。</w:t>
      </w:r>
    </w:p>
    <w:p w14:paraId="2CAE7853">
      <w:pPr>
        <w:spacing w:line="360" w:lineRule="auto"/>
        <w:ind w:left="480"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3C4AD4E1">
      <w:pPr>
        <w:spacing w:line="36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五、</w:t>
      </w:r>
      <w:r>
        <w:rPr>
          <w:rFonts w:hint="eastAsia"/>
          <w:b/>
          <w:bCs/>
          <w:sz w:val="28"/>
          <w:szCs w:val="28"/>
        </w:rPr>
        <w:t>实验创新点</w:t>
      </w:r>
    </w:p>
    <w:p w14:paraId="320CDA9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35246906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1. 智能柜型分配与取件码生成机制</w:t>
      </w:r>
    </w:p>
    <w:p w14:paraId="39383656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系统根据包裹体积自动判断柜型（SMALL/MEDIUM/LARGE）并生成结构化取件码（格式：柜号-随机数-随机数）。柜型判断基于实际快递柜尺寸标准设计（小型&lt;12000cm³，中型12000-125000cm³，大型&gt;125000cm³），不同柜型对应不同编号段的快递柜，使系统贴近实际业务场景。</w:t>
      </w:r>
    </w:p>
    <w:p w14:paraId="492EDBDC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4C9C065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2. 代取授权机制</w:t>
      </w:r>
    </w:p>
    <w:p w14:paraId="4023DAF2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收件人可通过系统授权他人（输入代取人手机号）代为取件。取件验证时，系统同时匹配收件人和代取人手机号，任一匹配即可完成取件。该机制提升了取件的灵活性，适应实际生活中帮他人代取快递的常见需求。</w:t>
      </w:r>
    </w:p>
    <w:p w14:paraId="5346A3BA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4AD2D7D4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3. 定时自动出库与清理机制</w:t>
      </w:r>
    </w:p>
    <w:p w14:paraId="332BE55A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引入Spring @Scheduled定时任务，实现入库超过5天自动出库、已出库超过7天自动清理的机制。避免快递柜资源被长期占用，提升系统自动化管理水平，减少人工干预。同时使用@EnableScheduling注解在应用启动类上统一启用定时任务。</w:t>
      </w:r>
    </w:p>
    <w:p w14:paraId="1F4C760D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33936AED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 完整的状态机设计</w:t>
      </w:r>
    </w:p>
    <w:p w14:paraId="5EACFA4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寄件订单采用严格的状态机设计（SUBMITTED→APPROVED→PAID→COLLECTED/REJECTED），每个状态转换都有前置条件校验，防止非法的状态跳转（如未审核直接支付、未支付直接揽收等），保证业务流程的完整性和数据一致性。</w:t>
      </w:r>
    </w:p>
    <w:p w14:paraId="494949AE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7B9A84A2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5. 前后端分离架构与统一异常处理</w:t>
      </w:r>
    </w:p>
    <w:p w14:paraId="1F0F908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采用前后端完全分离的架构设计：后端统一使用Result&lt;T&gt;泛型类封装API响应（code、message、data），前端Axios拦截器统一处理业务异常（code≠200）和HTTP异常（401未登录自动跳转）。后端通过GlobalExceptionHandler全局异常处理器捕获BusinessException和未知异常，保证API响应格式的一致性。</w:t>
      </w:r>
    </w:p>
    <w:p w14:paraId="7230ED6D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20DC3DD0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6. 多表关联查询与数据聚合</w:t>
      </w:r>
    </w:p>
    <w:p w14:paraId="19A2A757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包裹追踪功能从package、inbound_package、send_package三张表联合查询数据，组装为统一的追踪视图返回前端。搜索功能支持多字段模糊匹配（快递单号、收件人姓名/电话、寄件人姓名/电话），使用MyBatis-Plus的QueryWrapper动态构建查询条件，实现灵活的数据检索。</w:t>
      </w:r>
    </w:p>
    <w:p w14:paraId="11A7FE2F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7B026AAC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7. 细粒度的角色权限控制</w:t>
      </w:r>
    </w:p>
    <w:p w14:paraId="15ABDBA8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系统设计了三种用户角色（REGULAR/COURIER/MANAGER），后端通过SessionInterceptor校验登录状态，前端通过Vue Router路由守卫校验角色权限，前后端双重保障访问控制。各角色拥有独立的功能菜单和操作权限，实现了最小权限原则。</w:t>
      </w:r>
    </w:p>
    <w:p w14:paraId="1DD59594">
      <w:pPr>
        <w:spacing w:line="360" w:lineRule="auto"/>
        <w:ind w:firstLine="482" w:firstLineChars="200"/>
        <w:rPr>
          <w:rFonts w:ascii="宋体" w:hAnsi="宋体" w:cs="宋体"/>
          <w:b/>
          <w:bCs/>
          <w:sz w:val="24"/>
          <w:szCs w:val="24"/>
        </w:rPr>
      </w:pPr>
    </w:p>
    <w:p w14:paraId="25D82070"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实验总结</w:t>
      </w:r>
    </w:p>
    <w:p w14:paraId="117CC917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</w:p>
    <w:p w14:paraId="3BD7CC46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通过本次实验，我完整地经历了一个Web应用系统从需求分析、系统设计、数据库设计、后端开发、前端开发到系统联调的全过程，收获颇丰：</w:t>
      </w:r>
    </w:p>
    <w:p w14:paraId="1EC94AAA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73BA2BFE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1. 技术能力提升</w:t>
      </w:r>
    </w:p>
    <w:p w14:paraId="034FC19E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在后端方面，深入掌握了Spring Boot框架的自动配置原理、RESTful API设计规范、MyBatis-Plus的条件构造器（QueryWrapper/LambdaUpdateWrapper）使用、@Transactional事务管理、BCrypt密码加密、Session会话管理等核心技术。在前端方面，熟练掌握了Vue3 Composition API、Vue Router路由管理、Element Plus组件库使用、Axios请求封装、ECharts图表集成等技能。</w:t>
      </w:r>
    </w:p>
    <w:p w14:paraId="3FF92340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2033149D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2. 工程实践认知</w:t>
      </w:r>
    </w:p>
    <w:p w14:paraId="7A1E311F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深刻理解了前后端分离架构的优势：前后端可独立开发、独立部署；接口规范（RESTful API）是前后端协作的契约；CORS跨域配置和Session Cookie管理是前后端分离项目必须解决的关键问题。同时认识到分层架构（Controller-Service-Mapper）对代码可维护性和可测试性的重要意义。</w:t>
      </w:r>
    </w:p>
    <w:p w14:paraId="32783C2A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AE789D6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3. 问题解决能力</w:t>
      </w:r>
    </w:p>
    <w:p w14:paraId="74BA4A5F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在开发过程中遇到了前后端Session跨域传递（需配置withCredentials和CORS allowCredentials）、MyBatis-Plus多表关联查询（使用@TableField(exist=false)承载联表字段）、Vue Router路由守卫权限控制、ECharts数据格式适配等技术问题，通过查阅官方文档、搜索技术博客和反复调试逐一解决，锻炼了独立分析和解决问题的能力。</w:t>
      </w:r>
    </w:p>
    <w:p w14:paraId="0AF624C7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</w:t>
      </w:r>
    </w:p>
    <w:p w14:paraId="0E0B91F7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4. 不足与展望</w:t>
      </w:r>
    </w:p>
    <w:p w14:paraId="5AC41A81">
      <w:pPr>
        <w:spacing w:line="360" w:lineRule="auto"/>
        <w:ind w:firstLine="482" w:firstLineChars="200"/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系统目前还存在一些可以改进的地方：（1）包裹信息的初始录入依赖后台管理接口手动操作，实际生产中应通过API对接电商平台自动获取包裹数据，这是本项目的不足之处；（2）未实现短信通知功能，用户无法及时收到快递状态变更提醒；（3）支付功能为模拟支付，未对接真实支付接口；（4）未使用Docker进行容器化部署。未来可以在此基础上继续完善，增加更多实用功能，提升系统的完整性和用户体验。</w:t>
      </w:r>
    </w:p>
    <w:p w14:paraId="6F614213">
      <w:pPr>
        <w:spacing w:line="360" w:lineRule="auto"/>
        <w:ind w:firstLine="482" w:firstLineChars="200"/>
        <w:rPr>
          <w:rFonts w:ascii="宋体" w:hAnsi="宋体" w:cs="宋体"/>
          <w:b/>
          <w:bCs/>
          <w:sz w:val="24"/>
          <w:szCs w:val="24"/>
        </w:rPr>
      </w:pPr>
    </w:p>
    <w:p w14:paraId="0130C77F">
      <w:pPr>
        <w:spacing w:line="360" w:lineRule="auto"/>
        <w:ind w:firstLine="482" w:firstLineChars="200"/>
        <w:rPr>
          <w:rFonts w:ascii="宋体" w:hAnsi="宋体" w:cs="宋体"/>
          <w:b/>
          <w:bCs/>
          <w:sz w:val="24"/>
          <w:szCs w:val="24"/>
        </w:rPr>
      </w:pPr>
    </w:p>
    <w:p w14:paraId="4761F887">
      <w:pPr>
        <w:spacing w:line="360" w:lineRule="auto"/>
        <w:ind w:firstLine="482" w:firstLineChars="200"/>
        <w:rPr>
          <w:rFonts w:ascii="宋体" w:hAnsi="宋体" w:cs="宋体"/>
          <w:b/>
          <w:bCs/>
          <w:sz w:val="24"/>
          <w:szCs w:val="24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14881F06">
      <w:pPr>
        <w:pageBreakBefore/>
        <w:autoSpaceDE w:val="0"/>
        <w:autoSpaceDN w:val="0"/>
        <w:adjustRightInd w:val="0"/>
        <w:rPr>
          <w:b/>
          <w:kern w:val="0"/>
          <w:sz w:val="24"/>
          <w:szCs w:val="24"/>
          <w:lang w:val="zh-CN"/>
        </w:rPr>
      </w:pPr>
      <w:r>
        <w:rPr>
          <w:b/>
          <w:kern w:val="0"/>
          <w:sz w:val="24"/>
          <w:szCs w:val="24"/>
          <w:lang w:val="zh-CN"/>
        </w:rPr>
        <w:t>附录：</w:t>
      </w:r>
    </w:p>
    <w:p w14:paraId="451AEF2A">
      <w:pPr>
        <w:jc w:val="center"/>
        <w:rPr>
          <w:rFonts w:eastAsia="仿宋_GB2312"/>
          <w:b/>
          <w:bCs/>
          <w:sz w:val="72"/>
          <w:szCs w:val="72"/>
        </w:rPr>
      </w:pPr>
    </w:p>
    <w:p w14:paraId="3555EAC3">
      <w:pPr>
        <w:jc w:val="center"/>
        <w:rPr>
          <w:rFonts w:eastAsia="仿宋_GB2312"/>
          <w:b/>
          <w:bCs/>
          <w:sz w:val="48"/>
          <w:szCs w:val="48"/>
        </w:rPr>
      </w:pPr>
      <w:r>
        <w:rPr>
          <w:rFonts w:eastAsia="仿宋_GB2312"/>
          <w:b/>
          <w:bCs/>
          <w:sz w:val="48"/>
          <w:szCs w:val="48"/>
        </w:rPr>
        <w:t>《</w:t>
      </w:r>
      <w:r>
        <w:rPr>
          <w:rFonts w:hint="eastAsia" w:eastAsia="仿宋_GB2312"/>
          <w:b/>
          <w:bCs/>
          <w:sz w:val="48"/>
          <w:szCs w:val="48"/>
        </w:rPr>
        <w:t>Web开发技术</w:t>
      </w:r>
      <w:r>
        <w:rPr>
          <w:rFonts w:eastAsia="仿宋_GB2312"/>
          <w:b/>
          <w:bCs/>
          <w:sz w:val="48"/>
          <w:szCs w:val="48"/>
        </w:rPr>
        <w:t>》实验成绩评定表</w:t>
      </w:r>
    </w:p>
    <w:p w14:paraId="3C1BFFC6">
      <w:pPr>
        <w:autoSpaceDE w:val="0"/>
        <w:autoSpaceDN w:val="0"/>
        <w:adjustRightInd w:val="0"/>
        <w:spacing w:before="312" w:beforeLines="100" w:after="312" w:afterLines="100" w:line="480" w:lineRule="auto"/>
        <w:rPr>
          <w:b/>
          <w:kern w:val="0"/>
          <w:sz w:val="32"/>
          <w:szCs w:val="32"/>
          <w:lang w:val="zh-CN"/>
        </w:rPr>
      </w:pPr>
      <w:r>
        <w:rPr>
          <w:b/>
          <w:kern w:val="0"/>
          <w:sz w:val="32"/>
          <w:szCs w:val="32"/>
          <w:lang w:val="en-US" w:eastAsia="zh-CN"/>
        </w:rPr>
        <w:pict>
          <v:shape id="Picture 5" o:spid="_x0000_s2050" o:spt="75" type="#_x0000_t75" style="position:absolute;left:0pt;margin-left:135pt;margin-top:39pt;height:101.4pt;width:135pt;z-index:251660288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logo2"/>
            <o:lock v:ext="edit" aspectratio="t"/>
          </v:shape>
        </w:pict>
      </w:r>
    </w:p>
    <w:p w14:paraId="19302CF8">
      <w:pPr>
        <w:autoSpaceDE w:val="0"/>
        <w:autoSpaceDN w:val="0"/>
        <w:adjustRightInd w:val="0"/>
        <w:spacing w:before="312" w:beforeLines="100" w:after="312" w:afterLines="100" w:line="480" w:lineRule="auto"/>
        <w:rPr>
          <w:b/>
          <w:kern w:val="0"/>
          <w:sz w:val="32"/>
          <w:szCs w:val="32"/>
          <w:lang w:val="zh-CN"/>
        </w:rPr>
      </w:pPr>
    </w:p>
    <w:p w14:paraId="6839D7FE">
      <w:pPr>
        <w:autoSpaceDE w:val="0"/>
        <w:autoSpaceDN w:val="0"/>
        <w:adjustRightInd w:val="0"/>
        <w:spacing w:before="312" w:beforeLines="100" w:after="312" w:afterLines="100" w:line="480" w:lineRule="auto"/>
        <w:rPr>
          <w:b/>
          <w:kern w:val="0"/>
          <w:sz w:val="32"/>
          <w:szCs w:val="32"/>
          <w:lang w:val="zh-CN"/>
        </w:rPr>
      </w:pPr>
    </w:p>
    <w:p w14:paraId="0E202A6E">
      <w:pPr>
        <w:autoSpaceDE w:val="0"/>
        <w:autoSpaceDN w:val="0"/>
        <w:adjustRightInd w:val="0"/>
        <w:spacing w:before="312" w:beforeLines="100" w:after="312" w:afterLines="100" w:line="480" w:lineRule="auto"/>
        <w:rPr>
          <w:b/>
          <w:kern w:val="0"/>
          <w:sz w:val="32"/>
          <w:szCs w:val="32"/>
          <w:lang w:val="zh-CN"/>
        </w:rPr>
      </w:pP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5590"/>
        <w:gridCol w:w="805"/>
        <w:gridCol w:w="815"/>
      </w:tblGrid>
      <w:tr w14:paraId="25DB7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  <w:jc w:val="center"/>
        </w:trPr>
        <w:tc>
          <w:tcPr>
            <w:tcW w:w="1093" w:type="dxa"/>
            <w:vMerge w:val="restart"/>
            <w:vAlign w:val="center"/>
          </w:tcPr>
          <w:p w14:paraId="03087ACF">
            <w:pPr>
              <w:autoSpaceDE w:val="0"/>
              <w:autoSpaceDN w:val="0"/>
              <w:adjustRightInd w:val="0"/>
              <w:spacing w:before="156" w:beforeLines="50" w:after="156" w:afterLines="50" w:line="300" w:lineRule="exact"/>
              <w:rPr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考察点</w:t>
            </w:r>
          </w:p>
        </w:tc>
        <w:tc>
          <w:tcPr>
            <w:tcW w:w="5590" w:type="dxa"/>
            <w:vMerge w:val="restart"/>
            <w:vAlign w:val="center"/>
          </w:tcPr>
          <w:p w14:paraId="775BF731">
            <w:pPr>
              <w:autoSpaceDE w:val="0"/>
              <w:autoSpaceDN w:val="0"/>
              <w:adjustRightInd w:val="0"/>
              <w:spacing w:before="156" w:beforeLines="50" w:after="156" w:afterLines="50" w:line="300" w:lineRule="exact"/>
              <w:jc w:val="center"/>
              <w:rPr>
                <w:b/>
                <w:kern w:val="0"/>
              </w:rPr>
            </w:pPr>
            <w:r>
              <w:rPr>
                <w:b/>
                <w:kern w:val="0"/>
              </w:rPr>
              <w:t>具  体  要  求</w:t>
            </w:r>
          </w:p>
        </w:tc>
        <w:tc>
          <w:tcPr>
            <w:tcW w:w="805" w:type="dxa"/>
            <w:vMerge w:val="restart"/>
            <w:vAlign w:val="center"/>
          </w:tcPr>
          <w:p w14:paraId="1E270226">
            <w:pPr>
              <w:autoSpaceDE w:val="0"/>
              <w:autoSpaceDN w:val="0"/>
              <w:adjustRightInd w:val="0"/>
              <w:spacing w:before="156" w:beforeLines="50" w:after="156" w:afterLines="50" w:line="300" w:lineRule="exact"/>
              <w:jc w:val="center"/>
              <w:rPr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满分</w:t>
            </w:r>
          </w:p>
        </w:tc>
        <w:tc>
          <w:tcPr>
            <w:tcW w:w="815" w:type="dxa"/>
            <w:vMerge w:val="restart"/>
            <w:vAlign w:val="center"/>
          </w:tcPr>
          <w:p w14:paraId="598A3336">
            <w:pPr>
              <w:autoSpaceDE w:val="0"/>
              <w:autoSpaceDN w:val="0"/>
              <w:adjustRightInd w:val="0"/>
              <w:spacing w:before="156" w:beforeLines="50" w:after="156" w:afterLines="50" w:line="300" w:lineRule="exact"/>
              <w:jc w:val="center"/>
              <w:rPr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得分</w:t>
            </w:r>
          </w:p>
        </w:tc>
      </w:tr>
      <w:tr w14:paraId="043F1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2" w:hRule="atLeast"/>
          <w:jc w:val="center"/>
        </w:trPr>
        <w:tc>
          <w:tcPr>
            <w:tcW w:w="1093" w:type="dxa"/>
            <w:vMerge w:val="continue"/>
            <w:vAlign w:val="center"/>
          </w:tcPr>
          <w:p w14:paraId="70414B52">
            <w:pPr>
              <w:autoSpaceDE w:val="0"/>
              <w:autoSpaceDN w:val="0"/>
              <w:adjustRightInd w:val="0"/>
              <w:spacing w:before="156" w:beforeLines="50" w:after="156" w:afterLines="50" w:line="300" w:lineRule="exact"/>
              <w:jc w:val="center"/>
              <w:rPr>
                <w:b/>
                <w:kern w:val="0"/>
              </w:rPr>
            </w:pPr>
          </w:p>
        </w:tc>
        <w:tc>
          <w:tcPr>
            <w:tcW w:w="5590" w:type="dxa"/>
            <w:vMerge w:val="continue"/>
            <w:vAlign w:val="center"/>
          </w:tcPr>
          <w:p w14:paraId="13F36DF2">
            <w:pPr>
              <w:autoSpaceDE w:val="0"/>
              <w:autoSpaceDN w:val="0"/>
              <w:adjustRightInd w:val="0"/>
              <w:spacing w:before="156" w:beforeLines="50" w:after="156" w:afterLines="50" w:line="300" w:lineRule="exact"/>
              <w:rPr>
                <w:b/>
                <w:kern w:val="0"/>
              </w:rPr>
            </w:pPr>
          </w:p>
        </w:tc>
        <w:tc>
          <w:tcPr>
            <w:tcW w:w="805" w:type="dxa"/>
            <w:vMerge w:val="continue"/>
            <w:vAlign w:val="center"/>
          </w:tcPr>
          <w:p w14:paraId="7CCD98C7">
            <w:pPr>
              <w:autoSpaceDE w:val="0"/>
              <w:autoSpaceDN w:val="0"/>
              <w:adjustRightInd w:val="0"/>
              <w:spacing w:before="156" w:beforeLines="50" w:after="156" w:afterLines="50" w:line="300" w:lineRule="exact"/>
              <w:jc w:val="center"/>
              <w:rPr>
                <w:b/>
                <w:kern w:val="0"/>
              </w:rPr>
            </w:pPr>
          </w:p>
        </w:tc>
        <w:tc>
          <w:tcPr>
            <w:tcW w:w="815" w:type="dxa"/>
            <w:vMerge w:val="continue"/>
            <w:vAlign w:val="center"/>
          </w:tcPr>
          <w:p w14:paraId="766B0F83">
            <w:pPr>
              <w:autoSpaceDE w:val="0"/>
              <w:autoSpaceDN w:val="0"/>
              <w:adjustRightInd w:val="0"/>
              <w:spacing w:before="156" w:beforeLines="50" w:after="156" w:afterLines="50" w:line="300" w:lineRule="exact"/>
              <w:rPr>
                <w:b/>
                <w:kern w:val="0"/>
              </w:rPr>
            </w:pPr>
          </w:p>
        </w:tc>
      </w:tr>
      <w:tr w14:paraId="2E17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  <w:jc w:val="center"/>
        </w:trPr>
        <w:tc>
          <w:tcPr>
            <w:tcW w:w="1093" w:type="dxa"/>
            <w:vAlign w:val="center"/>
          </w:tcPr>
          <w:p w14:paraId="02D40415">
            <w:pPr>
              <w:autoSpaceDE w:val="0"/>
              <w:autoSpaceDN w:val="0"/>
              <w:adjustRightInd w:val="0"/>
              <w:spacing w:before="156" w:beforeLines="50" w:after="156" w:afterLines="50" w:line="360" w:lineRule="exact"/>
              <w:jc w:val="center"/>
              <w:rPr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基本内容</w:t>
            </w:r>
          </w:p>
        </w:tc>
        <w:tc>
          <w:tcPr>
            <w:tcW w:w="5590" w:type="dxa"/>
            <w:vAlign w:val="center"/>
          </w:tcPr>
          <w:p w14:paraId="1AAD5952">
            <w:pPr>
              <w:autoSpaceDE w:val="0"/>
              <w:autoSpaceDN w:val="0"/>
              <w:adjustRightInd w:val="0"/>
              <w:spacing w:before="156" w:beforeLines="50" w:after="156" w:afterLines="50" w:line="360" w:lineRule="exact"/>
              <w:ind w:firstLine="360"/>
              <w:rPr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能够按照实验项目要求，</w:t>
            </w:r>
            <w:r>
              <w:rPr>
                <w:rFonts w:hint="eastAsia"/>
                <w:b/>
                <w:kern w:val="0"/>
                <w:lang w:val="en-GB"/>
              </w:rPr>
              <w:t>熟练使用课程中教授技术，完成系统设计和开发。</w:t>
            </w:r>
            <w:r>
              <w:rPr>
                <w:rFonts w:hint="eastAsia"/>
                <w:b/>
                <w:kern w:val="0"/>
              </w:rPr>
              <w:t>态度认真，设计合理、代码</w:t>
            </w:r>
            <w:r>
              <w:rPr>
                <w:rFonts w:hint="eastAsia"/>
                <w:b/>
                <w:kern w:val="0"/>
                <w:lang w:val="en-GB"/>
              </w:rPr>
              <w:t>符合编码</w:t>
            </w:r>
            <w:r>
              <w:rPr>
                <w:rFonts w:hint="eastAsia"/>
                <w:b/>
                <w:kern w:val="0"/>
              </w:rPr>
              <w:t>规范。</w:t>
            </w:r>
          </w:p>
        </w:tc>
        <w:tc>
          <w:tcPr>
            <w:tcW w:w="805" w:type="dxa"/>
            <w:vAlign w:val="center"/>
          </w:tcPr>
          <w:p w14:paraId="07486168">
            <w:pPr>
              <w:autoSpaceDE w:val="0"/>
              <w:autoSpaceDN w:val="0"/>
              <w:adjustRightInd w:val="0"/>
              <w:spacing w:before="156" w:beforeLines="50" w:after="156" w:afterLines="50" w:line="360" w:lineRule="exact"/>
              <w:jc w:val="center"/>
              <w:rPr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30</w:t>
            </w:r>
          </w:p>
        </w:tc>
        <w:tc>
          <w:tcPr>
            <w:tcW w:w="815" w:type="dxa"/>
            <w:vAlign w:val="center"/>
          </w:tcPr>
          <w:p w14:paraId="7ECD8940">
            <w:pPr>
              <w:jc w:val="center"/>
              <w:rPr>
                <w:rFonts w:hint="eastAsia"/>
                <w:b/>
                <w:bCs/>
                <w:color w:val="FF0000"/>
                <w:sz w:val="24"/>
                <w:szCs w:val="24"/>
              </w:rPr>
            </w:pPr>
          </w:p>
        </w:tc>
      </w:tr>
      <w:tr w14:paraId="2BC47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  <w:jc w:val="center"/>
        </w:trPr>
        <w:tc>
          <w:tcPr>
            <w:tcW w:w="1093" w:type="dxa"/>
            <w:vAlign w:val="center"/>
          </w:tcPr>
          <w:p w14:paraId="51903C78">
            <w:pPr>
              <w:autoSpaceDE w:val="0"/>
              <w:autoSpaceDN w:val="0"/>
              <w:adjustRightInd w:val="0"/>
              <w:spacing w:before="156" w:beforeLines="50" w:after="156" w:afterLines="50" w:line="360" w:lineRule="exact"/>
              <w:jc w:val="center"/>
              <w:rPr>
                <w:b/>
                <w:kern w:val="0"/>
              </w:rPr>
            </w:pPr>
            <w:r>
              <w:rPr>
                <w:rFonts w:hint="eastAsia" w:ascii="宋体" w:hAnsi="宋体"/>
                <w:b/>
                <w:kern w:val="0"/>
              </w:rPr>
              <w:t>设计与答辩</w:t>
            </w:r>
          </w:p>
        </w:tc>
        <w:tc>
          <w:tcPr>
            <w:tcW w:w="5590" w:type="dxa"/>
            <w:vAlign w:val="center"/>
          </w:tcPr>
          <w:p w14:paraId="256CB2BE">
            <w:pPr>
              <w:autoSpaceDE w:val="0"/>
              <w:autoSpaceDN w:val="0"/>
              <w:adjustRightInd w:val="0"/>
              <w:spacing w:before="78" w:beforeLines="25" w:after="78" w:afterLines="25" w:line="360" w:lineRule="exact"/>
              <w:ind w:firstLine="363"/>
              <w:rPr>
                <w:b/>
                <w:kern w:val="0"/>
              </w:rPr>
            </w:pPr>
            <w:r>
              <w:rPr>
                <w:rFonts w:hint="eastAsia" w:ascii="宋体" w:hAnsi="宋体"/>
                <w:b/>
                <w:kern w:val="0"/>
              </w:rPr>
              <w:t>业务功能设计要求合理，符合项目业务实际功能需求，界面设计要求美观，要有界面UI框架的设计，答辩过程中要正确解答2-3个项目核心问题</w:t>
            </w:r>
          </w:p>
        </w:tc>
        <w:tc>
          <w:tcPr>
            <w:tcW w:w="805" w:type="dxa"/>
            <w:vAlign w:val="center"/>
          </w:tcPr>
          <w:p w14:paraId="5611F31F">
            <w:pPr>
              <w:autoSpaceDE w:val="0"/>
              <w:autoSpaceDN w:val="0"/>
              <w:adjustRightInd w:val="0"/>
              <w:spacing w:before="156" w:beforeLines="50" w:after="156" w:afterLines="50" w:line="360" w:lineRule="exact"/>
              <w:jc w:val="center"/>
              <w:rPr>
                <w:b/>
                <w:kern w:val="0"/>
              </w:rPr>
            </w:pPr>
            <w:r>
              <w:rPr>
                <w:rFonts w:hint="eastAsia" w:ascii="宋体" w:hAnsi="宋体"/>
                <w:b/>
                <w:kern w:val="0"/>
              </w:rPr>
              <w:t>10</w:t>
            </w:r>
          </w:p>
        </w:tc>
        <w:tc>
          <w:tcPr>
            <w:tcW w:w="815" w:type="dxa"/>
            <w:vAlign w:val="center"/>
          </w:tcPr>
          <w:p w14:paraId="09A8CCC6">
            <w:pPr>
              <w:jc w:val="center"/>
              <w:rPr>
                <w:rFonts w:hint="eastAsia"/>
                <w:b/>
                <w:bCs/>
                <w:color w:val="FF0000"/>
                <w:sz w:val="24"/>
                <w:szCs w:val="24"/>
              </w:rPr>
            </w:pPr>
          </w:p>
        </w:tc>
      </w:tr>
      <w:tr w14:paraId="2BFC4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93" w:type="dxa"/>
            <w:vAlign w:val="center"/>
          </w:tcPr>
          <w:p w14:paraId="2B7A198F">
            <w:pPr>
              <w:autoSpaceDE w:val="0"/>
              <w:autoSpaceDN w:val="0"/>
              <w:adjustRightInd w:val="0"/>
              <w:spacing w:before="156" w:beforeLines="50" w:after="156" w:afterLines="50" w:line="360" w:lineRule="exact"/>
              <w:jc w:val="center"/>
              <w:rPr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创新</w:t>
            </w:r>
          </w:p>
        </w:tc>
        <w:tc>
          <w:tcPr>
            <w:tcW w:w="5590" w:type="dxa"/>
            <w:vAlign w:val="center"/>
          </w:tcPr>
          <w:p w14:paraId="06334C28">
            <w:pPr>
              <w:autoSpaceDE w:val="0"/>
              <w:autoSpaceDN w:val="0"/>
              <w:adjustRightInd w:val="0"/>
              <w:spacing w:before="156" w:beforeLines="50" w:after="156" w:afterLines="50" w:line="360" w:lineRule="exact"/>
              <w:ind w:firstLine="360"/>
              <w:rPr>
                <w:lang w:val="en-GB"/>
              </w:rPr>
            </w:pPr>
            <w:r>
              <w:rPr>
                <w:rFonts w:hint="eastAsia"/>
                <w:b/>
                <w:kern w:val="0"/>
              </w:rPr>
              <w:t>系统设计时需考虑系统的延展性、兼容性、可用性、通用性、健壮性、跨平台及持续集成，不仅能满足现有需要，也要适应未来发展的能力。</w:t>
            </w:r>
          </w:p>
        </w:tc>
        <w:tc>
          <w:tcPr>
            <w:tcW w:w="805" w:type="dxa"/>
            <w:vAlign w:val="center"/>
          </w:tcPr>
          <w:p w14:paraId="78FD5FC3">
            <w:pPr>
              <w:autoSpaceDE w:val="0"/>
              <w:autoSpaceDN w:val="0"/>
              <w:adjustRightInd w:val="0"/>
              <w:spacing w:before="156" w:beforeLines="50" w:after="156" w:afterLines="50" w:line="360" w:lineRule="exact"/>
              <w:jc w:val="center"/>
              <w:rPr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10</w:t>
            </w:r>
          </w:p>
        </w:tc>
        <w:tc>
          <w:tcPr>
            <w:tcW w:w="815" w:type="dxa"/>
            <w:vAlign w:val="center"/>
          </w:tcPr>
          <w:p w14:paraId="2B4FB5C0">
            <w:pPr>
              <w:jc w:val="center"/>
              <w:rPr>
                <w:rFonts w:hint="eastAsia"/>
                <w:b/>
                <w:bCs/>
                <w:color w:val="FF0000"/>
                <w:sz w:val="24"/>
                <w:szCs w:val="24"/>
              </w:rPr>
            </w:pPr>
          </w:p>
        </w:tc>
      </w:tr>
      <w:tr w14:paraId="0AB38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093" w:type="dxa"/>
            <w:vAlign w:val="center"/>
          </w:tcPr>
          <w:p w14:paraId="09607192">
            <w:pPr>
              <w:autoSpaceDE w:val="0"/>
              <w:autoSpaceDN w:val="0"/>
              <w:adjustRightInd w:val="0"/>
              <w:spacing w:before="156" w:beforeLines="50" w:after="156" w:afterLines="50" w:line="360" w:lineRule="exact"/>
              <w:jc w:val="center"/>
              <w:rPr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报告质量</w:t>
            </w:r>
          </w:p>
        </w:tc>
        <w:tc>
          <w:tcPr>
            <w:tcW w:w="5590" w:type="dxa"/>
            <w:vAlign w:val="center"/>
          </w:tcPr>
          <w:p w14:paraId="53F198AC">
            <w:pPr>
              <w:autoSpaceDE w:val="0"/>
              <w:autoSpaceDN w:val="0"/>
              <w:adjustRightInd w:val="0"/>
              <w:spacing w:before="156" w:beforeLines="50" w:after="156" w:afterLines="50" w:line="360" w:lineRule="exact"/>
              <w:ind w:firstLine="360"/>
              <w:rPr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报告内容充实、实验内容记录完整，实验结果分析准确，归纳总结充分，实验报告格式正确，文档提交完整、正确。</w:t>
            </w:r>
          </w:p>
        </w:tc>
        <w:tc>
          <w:tcPr>
            <w:tcW w:w="805" w:type="dxa"/>
            <w:vAlign w:val="center"/>
          </w:tcPr>
          <w:p w14:paraId="767AE5E2">
            <w:pPr>
              <w:autoSpaceDE w:val="0"/>
              <w:autoSpaceDN w:val="0"/>
              <w:adjustRightInd w:val="0"/>
              <w:spacing w:before="156" w:beforeLines="50" w:after="156" w:afterLines="50" w:line="360" w:lineRule="exact"/>
              <w:jc w:val="center"/>
              <w:rPr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10</w:t>
            </w:r>
          </w:p>
        </w:tc>
        <w:tc>
          <w:tcPr>
            <w:tcW w:w="815" w:type="dxa"/>
            <w:vAlign w:val="center"/>
          </w:tcPr>
          <w:p w14:paraId="63D2026A">
            <w:pPr>
              <w:jc w:val="center"/>
              <w:rPr>
                <w:rFonts w:hint="eastAsia"/>
                <w:b/>
                <w:bCs/>
                <w:color w:val="FF0000"/>
                <w:sz w:val="24"/>
                <w:szCs w:val="24"/>
              </w:rPr>
            </w:pPr>
          </w:p>
        </w:tc>
      </w:tr>
      <w:tr w14:paraId="12F6C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7488" w:type="dxa"/>
            <w:gridSpan w:val="3"/>
            <w:vAlign w:val="center"/>
          </w:tcPr>
          <w:p w14:paraId="24F4E1CB">
            <w:pPr>
              <w:autoSpaceDE w:val="0"/>
              <w:autoSpaceDN w:val="0"/>
              <w:adjustRightInd w:val="0"/>
              <w:spacing w:before="156" w:beforeLines="50" w:after="156" w:afterLines="50" w:line="360" w:lineRule="exact"/>
              <w:jc w:val="center"/>
              <w:rPr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总计</w:t>
            </w:r>
          </w:p>
        </w:tc>
        <w:tc>
          <w:tcPr>
            <w:tcW w:w="815" w:type="dxa"/>
            <w:vAlign w:val="center"/>
          </w:tcPr>
          <w:p w14:paraId="6186FF23">
            <w:pPr>
              <w:jc w:val="center"/>
              <w:rPr>
                <w:rFonts w:hint="eastAsia"/>
                <w:b/>
                <w:bCs/>
                <w:color w:val="FF0000"/>
                <w:sz w:val="24"/>
                <w:szCs w:val="24"/>
              </w:rPr>
            </w:pPr>
          </w:p>
        </w:tc>
      </w:tr>
    </w:tbl>
    <w:p w14:paraId="21014BAE">
      <w:pPr>
        <w:autoSpaceDE w:val="0"/>
        <w:autoSpaceDN w:val="0"/>
        <w:adjustRightInd w:val="0"/>
        <w:spacing w:before="312" w:beforeLines="100"/>
        <w:jc w:val="center"/>
        <w:rPr>
          <w:rFonts w:eastAsia="仿宋_GB2312"/>
          <w:sz w:val="24"/>
          <w:szCs w:val="24"/>
        </w:rPr>
      </w:pPr>
    </w:p>
    <w:sectPr>
      <w:headerReference r:id="rId7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CB44B">
    <w:pPr>
      <w:pStyle w:val="7"/>
      <w:rPr>
        <w:rFonts w:hint="eastAsia"/>
        <w:szCs w:val="21"/>
      </w:rPr>
    </w:pPr>
    <w:r>
      <w:pict>
        <v:shape id="_x0000_s1028" o:spid="_x0000_s1028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weight="1.25pt" joinstyle="miter"/>
          <v:imagedata o:title=""/>
          <o:lock v:ext="edit"/>
          <v:textbox inset="0mm,0mm,0mm,0mm" style="mso-fit-shape-to-text:t;">
            <w:txbxContent>
              <w:p w14:paraId="6B4603FC">
                <w:pPr>
                  <w:pStyle w:val="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FD584">
    <w:pPr>
      <w:pStyle w:val="7"/>
      <w:rPr>
        <w:rFonts w:hint="eastAsia"/>
        <w:szCs w:val="21"/>
      </w:rPr>
    </w:pPr>
    <w:r>
      <w:pict>
        <v:shape id="_x0000_s1029" o:spid="_x0000_s1029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 weight="1.25pt" joinstyle="miter"/>
          <v:imagedata o:title=""/>
          <o:lock v:ext="edit"/>
          <v:textbox inset="0mm,0mm,0mm,0mm" style="mso-fit-shape-to-text:t;">
            <w:txbxContent>
              <w:p w14:paraId="2A37E678">
                <w:pPr>
                  <w:pStyle w:val="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54846">
    <w:pPr>
      <w:pStyle w:val="8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ADE31">
    <w:pPr>
      <w:pStyle w:val="8"/>
      <w:rPr>
        <w:rFonts w:eastAsia="楷体"/>
      </w:rPr>
    </w:pPr>
    <w:r>
      <w:rPr>
        <w:rFonts w:hint="eastAsia"/>
      </w:rPr>
      <w:t>《Web开发技术》</w:t>
    </w:r>
    <w:r>
      <w:rPr>
        <w:rFonts w:eastAsia="楷体"/>
      </w:rPr>
      <w:t xml:space="preserve">           </w:t>
    </w:r>
    <w:r>
      <w:rPr>
        <w:rFonts w:hint="eastAsia" w:eastAsia="楷体"/>
      </w:rPr>
      <w:t xml:space="preserve">                </w:t>
    </w:r>
    <w:r>
      <w:rPr>
        <w:rFonts w:eastAsia="楷体"/>
      </w:rPr>
      <w:t xml:space="preserve">                                        </w:t>
    </w:r>
    <w:r>
      <w:rPr>
        <w:rFonts w:hint="eastAsia" w:eastAsia="楷体"/>
      </w:rPr>
      <w:t>报告正文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0AAEE">
    <w:pPr>
      <w:pStyle w:val="8"/>
      <w:rPr>
        <w:rFonts w:eastAsia="楷体"/>
      </w:rPr>
    </w:pPr>
    <w:r>
      <w:rPr>
        <w:rFonts w:hint="eastAsia"/>
      </w:rPr>
      <w:t>《Web开发技术》</w:t>
    </w:r>
    <w:r>
      <w:rPr>
        <w:rFonts w:eastAsia="楷体"/>
      </w:rPr>
      <w:t xml:space="preserve">           </w:t>
    </w:r>
    <w:r>
      <w:rPr>
        <w:rFonts w:hint="eastAsia" w:eastAsia="楷体"/>
      </w:rPr>
      <w:t xml:space="preserve">                </w:t>
    </w:r>
    <w:r>
      <w:rPr>
        <w:rFonts w:eastAsia="楷体"/>
      </w:rPr>
      <w:t xml:space="preserve">                               </w:t>
    </w:r>
    <w:r>
      <w:rPr>
        <w:rFonts w:hint="eastAsia" w:eastAsia="楷体"/>
      </w:rPr>
      <w:t>教师成绩评定表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61D92"/>
    <w:multiLevelType w:val="singleLevel"/>
    <w:tmpl w:val="B8F61D92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52FF7"/>
    <w:rsid w:val="000138AB"/>
    <w:rsid w:val="0002346F"/>
    <w:rsid w:val="00025D48"/>
    <w:rsid w:val="00054A3F"/>
    <w:rsid w:val="00055B5F"/>
    <w:rsid w:val="00062304"/>
    <w:rsid w:val="00066F07"/>
    <w:rsid w:val="00071366"/>
    <w:rsid w:val="0007772D"/>
    <w:rsid w:val="00091484"/>
    <w:rsid w:val="000916CA"/>
    <w:rsid w:val="000A44BA"/>
    <w:rsid w:val="000B264A"/>
    <w:rsid w:val="000B37B6"/>
    <w:rsid w:val="000C44C7"/>
    <w:rsid w:val="000C5B02"/>
    <w:rsid w:val="000E06FD"/>
    <w:rsid w:val="001001DD"/>
    <w:rsid w:val="001114D3"/>
    <w:rsid w:val="001154F6"/>
    <w:rsid w:val="001213D5"/>
    <w:rsid w:val="00135307"/>
    <w:rsid w:val="0013622E"/>
    <w:rsid w:val="001400F5"/>
    <w:rsid w:val="00152892"/>
    <w:rsid w:val="00171EB4"/>
    <w:rsid w:val="00187598"/>
    <w:rsid w:val="001B25B7"/>
    <w:rsid w:val="001D0EBC"/>
    <w:rsid w:val="001D7F54"/>
    <w:rsid w:val="001E0FCD"/>
    <w:rsid w:val="001E1E8A"/>
    <w:rsid w:val="001E3C07"/>
    <w:rsid w:val="001E41F8"/>
    <w:rsid w:val="001E4AAE"/>
    <w:rsid w:val="001F55FF"/>
    <w:rsid w:val="001F721B"/>
    <w:rsid w:val="00205427"/>
    <w:rsid w:val="0020623B"/>
    <w:rsid w:val="00210F7B"/>
    <w:rsid w:val="00213C11"/>
    <w:rsid w:val="00217768"/>
    <w:rsid w:val="00245B93"/>
    <w:rsid w:val="0027019F"/>
    <w:rsid w:val="00274430"/>
    <w:rsid w:val="00276D90"/>
    <w:rsid w:val="00281DAE"/>
    <w:rsid w:val="0028666C"/>
    <w:rsid w:val="00292307"/>
    <w:rsid w:val="00295C0C"/>
    <w:rsid w:val="002A0ECE"/>
    <w:rsid w:val="002C2660"/>
    <w:rsid w:val="002C5522"/>
    <w:rsid w:val="002E41FE"/>
    <w:rsid w:val="002E6DAA"/>
    <w:rsid w:val="002E6FA1"/>
    <w:rsid w:val="002E7D41"/>
    <w:rsid w:val="002F1538"/>
    <w:rsid w:val="002F4A6E"/>
    <w:rsid w:val="00300C0D"/>
    <w:rsid w:val="0031225C"/>
    <w:rsid w:val="00313A53"/>
    <w:rsid w:val="00315073"/>
    <w:rsid w:val="00315FF2"/>
    <w:rsid w:val="0032155F"/>
    <w:rsid w:val="00330B47"/>
    <w:rsid w:val="00337C54"/>
    <w:rsid w:val="0034115B"/>
    <w:rsid w:val="003416E0"/>
    <w:rsid w:val="00341D12"/>
    <w:rsid w:val="00347866"/>
    <w:rsid w:val="0035364F"/>
    <w:rsid w:val="00361633"/>
    <w:rsid w:val="00367599"/>
    <w:rsid w:val="00370C27"/>
    <w:rsid w:val="00371C75"/>
    <w:rsid w:val="0038130B"/>
    <w:rsid w:val="003848E0"/>
    <w:rsid w:val="00391CBF"/>
    <w:rsid w:val="003939A9"/>
    <w:rsid w:val="00394191"/>
    <w:rsid w:val="003A2058"/>
    <w:rsid w:val="003A2BBD"/>
    <w:rsid w:val="003B0DE9"/>
    <w:rsid w:val="003B741B"/>
    <w:rsid w:val="003B7C3B"/>
    <w:rsid w:val="003C2682"/>
    <w:rsid w:val="003C52C2"/>
    <w:rsid w:val="003D3071"/>
    <w:rsid w:val="003E0A2E"/>
    <w:rsid w:val="003E4F13"/>
    <w:rsid w:val="004022EA"/>
    <w:rsid w:val="004139AA"/>
    <w:rsid w:val="0043073F"/>
    <w:rsid w:val="00432776"/>
    <w:rsid w:val="004462FC"/>
    <w:rsid w:val="0045059C"/>
    <w:rsid w:val="00455AFA"/>
    <w:rsid w:val="00472897"/>
    <w:rsid w:val="0047343F"/>
    <w:rsid w:val="00492CD2"/>
    <w:rsid w:val="004A0606"/>
    <w:rsid w:val="004B412A"/>
    <w:rsid w:val="004B6936"/>
    <w:rsid w:val="004C5DF1"/>
    <w:rsid w:val="004D66B4"/>
    <w:rsid w:val="004E0155"/>
    <w:rsid w:val="004E2E5B"/>
    <w:rsid w:val="005153BD"/>
    <w:rsid w:val="005405A3"/>
    <w:rsid w:val="0054155E"/>
    <w:rsid w:val="00546669"/>
    <w:rsid w:val="0056650E"/>
    <w:rsid w:val="00571138"/>
    <w:rsid w:val="005872A2"/>
    <w:rsid w:val="00593732"/>
    <w:rsid w:val="00594ADE"/>
    <w:rsid w:val="005A4A34"/>
    <w:rsid w:val="005A713F"/>
    <w:rsid w:val="005A7C84"/>
    <w:rsid w:val="005B0E4D"/>
    <w:rsid w:val="005E6672"/>
    <w:rsid w:val="00600B34"/>
    <w:rsid w:val="006127C2"/>
    <w:rsid w:val="00614187"/>
    <w:rsid w:val="00627BD4"/>
    <w:rsid w:val="00631179"/>
    <w:rsid w:val="0064265E"/>
    <w:rsid w:val="00642D40"/>
    <w:rsid w:val="00647814"/>
    <w:rsid w:val="006511BF"/>
    <w:rsid w:val="00652FF7"/>
    <w:rsid w:val="0067638B"/>
    <w:rsid w:val="0068029A"/>
    <w:rsid w:val="006819A0"/>
    <w:rsid w:val="006849FC"/>
    <w:rsid w:val="00684F9C"/>
    <w:rsid w:val="006858D2"/>
    <w:rsid w:val="0069469D"/>
    <w:rsid w:val="006A008F"/>
    <w:rsid w:val="006A60D3"/>
    <w:rsid w:val="006B6A72"/>
    <w:rsid w:val="006B7F52"/>
    <w:rsid w:val="006C68E1"/>
    <w:rsid w:val="006D0A97"/>
    <w:rsid w:val="006D25AE"/>
    <w:rsid w:val="006E5DE9"/>
    <w:rsid w:val="006F5BAB"/>
    <w:rsid w:val="00702982"/>
    <w:rsid w:val="00702BBB"/>
    <w:rsid w:val="00724759"/>
    <w:rsid w:val="00727B8A"/>
    <w:rsid w:val="007316E9"/>
    <w:rsid w:val="007316FF"/>
    <w:rsid w:val="00752A05"/>
    <w:rsid w:val="007613DF"/>
    <w:rsid w:val="007635C8"/>
    <w:rsid w:val="007639ED"/>
    <w:rsid w:val="00766DF9"/>
    <w:rsid w:val="00783476"/>
    <w:rsid w:val="00790687"/>
    <w:rsid w:val="00795FE0"/>
    <w:rsid w:val="007B59F3"/>
    <w:rsid w:val="007B737F"/>
    <w:rsid w:val="007E21F6"/>
    <w:rsid w:val="007F7D86"/>
    <w:rsid w:val="00801DFE"/>
    <w:rsid w:val="00811F6C"/>
    <w:rsid w:val="00827ADC"/>
    <w:rsid w:val="00854521"/>
    <w:rsid w:val="00855C44"/>
    <w:rsid w:val="008573C4"/>
    <w:rsid w:val="00857FC5"/>
    <w:rsid w:val="00876CA0"/>
    <w:rsid w:val="00883FF6"/>
    <w:rsid w:val="00891025"/>
    <w:rsid w:val="00894479"/>
    <w:rsid w:val="008B1D7D"/>
    <w:rsid w:val="008B29C4"/>
    <w:rsid w:val="008C460B"/>
    <w:rsid w:val="008C7C67"/>
    <w:rsid w:val="008D24FD"/>
    <w:rsid w:val="008E5344"/>
    <w:rsid w:val="008E5AF2"/>
    <w:rsid w:val="008F490A"/>
    <w:rsid w:val="008F6A68"/>
    <w:rsid w:val="00900092"/>
    <w:rsid w:val="00901B87"/>
    <w:rsid w:val="00902E3E"/>
    <w:rsid w:val="00912889"/>
    <w:rsid w:val="009138EB"/>
    <w:rsid w:val="00915A4A"/>
    <w:rsid w:val="00915EC3"/>
    <w:rsid w:val="00931465"/>
    <w:rsid w:val="00944F64"/>
    <w:rsid w:val="00956CF2"/>
    <w:rsid w:val="0096324F"/>
    <w:rsid w:val="00964AC8"/>
    <w:rsid w:val="00980B65"/>
    <w:rsid w:val="00981D4F"/>
    <w:rsid w:val="009849E5"/>
    <w:rsid w:val="00985727"/>
    <w:rsid w:val="009B640D"/>
    <w:rsid w:val="009D1DBE"/>
    <w:rsid w:val="009D6150"/>
    <w:rsid w:val="009D77CD"/>
    <w:rsid w:val="009F6D99"/>
    <w:rsid w:val="00A03D3D"/>
    <w:rsid w:val="00A046F2"/>
    <w:rsid w:val="00A231F6"/>
    <w:rsid w:val="00A243FD"/>
    <w:rsid w:val="00A31552"/>
    <w:rsid w:val="00A3357C"/>
    <w:rsid w:val="00A40D56"/>
    <w:rsid w:val="00A4500B"/>
    <w:rsid w:val="00A47362"/>
    <w:rsid w:val="00A53530"/>
    <w:rsid w:val="00A62A00"/>
    <w:rsid w:val="00A70963"/>
    <w:rsid w:val="00A8697A"/>
    <w:rsid w:val="00A91CF2"/>
    <w:rsid w:val="00A971C9"/>
    <w:rsid w:val="00AA1DF9"/>
    <w:rsid w:val="00AA20FC"/>
    <w:rsid w:val="00AA63A8"/>
    <w:rsid w:val="00AB54AC"/>
    <w:rsid w:val="00AD743C"/>
    <w:rsid w:val="00AE5488"/>
    <w:rsid w:val="00AE6893"/>
    <w:rsid w:val="00AE7B1B"/>
    <w:rsid w:val="00AE7D5E"/>
    <w:rsid w:val="00AF252C"/>
    <w:rsid w:val="00B021DD"/>
    <w:rsid w:val="00B11BE1"/>
    <w:rsid w:val="00B1432F"/>
    <w:rsid w:val="00B23A20"/>
    <w:rsid w:val="00B26172"/>
    <w:rsid w:val="00B263C5"/>
    <w:rsid w:val="00B26F27"/>
    <w:rsid w:val="00B27A6A"/>
    <w:rsid w:val="00B300AC"/>
    <w:rsid w:val="00B301EA"/>
    <w:rsid w:val="00B30C69"/>
    <w:rsid w:val="00B30EEB"/>
    <w:rsid w:val="00B31FCF"/>
    <w:rsid w:val="00B41ECF"/>
    <w:rsid w:val="00B42660"/>
    <w:rsid w:val="00B4331E"/>
    <w:rsid w:val="00B45A87"/>
    <w:rsid w:val="00B46C9E"/>
    <w:rsid w:val="00B4784C"/>
    <w:rsid w:val="00B47955"/>
    <w:rsid w:val="00B54BBD"/>
    <w:rsid w:val="00B60415"/>
    <w:rsid w:val="00B67918"/>
    <w:rsid w:val="00B932FA"/>
    <w:rsid w:val="00BA4143"/>
    <w:rsid w:val="00BC138D"/>
    <w:rsid w:val="00BF62B4"/>
    <w:rsid w:val="00C129CE"/>
    <w:rsid w:val="00C157CB"/>
    <w:rsid w:val="00C254DD"/>
    <w:rsid w:val="00C3230B"/>
    <w:rsid w:val="00C5037B"/>
    <w:rsid w:val="00C70D3A"/>
    <w:rsid w:val="00C87E78"/>
    <w:rsid w:val="00C93C05"/>
    <w:rsid w:val="00CA19AD"/>
    <w:rsid w:val="00CA375C"/>
    <w:rsid w:val="00CB3392"/>
    <w:rsid w:val="00CB417F"/>
    <w:rsid w:val="00CB681C"/>
    <w:rsid w:val="00CB6F16"/>
    <w:rsid w:val="00CC1760"/>
    <w:rsid w:val="00CC184C"/>
    <w:rsid w:val="00CC1D4C"/>
    <w:rsid w:val="00CC4421"/>
    <w:rsid w:val="00CD352F"/>
    <w:rsid w:val="00CE71AD"/>
    <w:rsid w:val="00CF2864"/>
    <w:rsid w:val="00D02C30"/>
    <w:rsid w:val="00D02F64"/>
    <w:rsid w:val="00D031F9"/>
    <w:rsid w:val="00D053B9"/>
    <w:rsid w:val="00D10DC9"/>
    <w:rsid w:val="00D114F0"/>
    <w:rsid w:val="00D1250E"/>
    <w:rsid w:val="00D14CA5"/>
    <w:rsid w:val="00D21BCE"/>
    <w:rsid w:val="00D27EC9"/>
    <w:rsid w:val="00D45526"/>
    <w:rsid w:val="00D563C5"/>
    <w:rsid w:val="00D61E23"/>
    <w:rsid w:val="00D62220"/>
    <w:rsid w:val="00D6350C"/>
    <w:rsid w:val="00D7798E"/>
    <w:rsid w:val="00D92FE7"/>
    <w:rsid w:val="00DB42C2"/>
    <w:rsid w:val="00DB47E8"/>
    <w:rsid w:val="00DB6474"/>
    <w:rsid w:val="00DD62EA"/>
    <w:rsid w:val="00DE1BE2"/>
    <w:rsid w:val="00DE412C"/>
    <w:rsid w:val="00DF2C02"/>
    <w:rsid w:val="00DF592F"/>
    <w:rsid w:val="00E15A74"/>
    <w:rsid w:val="00E17EC5"/>
    <w:rsid w:val="00E301D3"/>
    <w:rsid w:val="00E44C98"/>
    <w:rsid w:val="00E51670"/>
    <w:rsid w:val="00E52F3C"/>
    <w:rsid w:val="00E55AB9"/>
    <w:rsid w:val="00E61B0D"/>
    <w:rsid w:val="00E640E7"/>
    <w:rsid w:val="00E67D22"/>
    <w:rsid w:val="00E70F07"/>
    <w:rsid w:val="00E7419A"/>
    <w:rsid w:val="00E77C97"/>
    <w:rsid w:val="00E911C2"/>
    <w:rsid w:val="00EC54A8"/>
    <w:rsid w:val="00EC5A73"/>
    <w:rsid w:val="00EE2138"/>
    <w:rsid w:val="00EE712A"/>
    <w:rsid w:val="00EF7D21"/>
    <w:rsid w:val="00F021EB"/>
    <w:rsid w:val="00F15965"/>
    <w:rsid w:val="00F15D27"/>
    <w:rsid w:val="00F23E61"/>
    <w:rsid w:val="00F306BE"/>
    <w:rsid w:val="00F3547B"/>
    <w:rsid w:val="00F36EB6"/>
    <w:rsid w:val="00F46EEB"/>
    <w:rsid w:val="00F50FDB"/>
    <w:rsid w:val="00F52B8A"/>
    <w:rsid w:val="00F56392"/>
    <w:rsid w:val="00F57A3B"/>
    <w:rsid w:val="00F57C61"/>
    <w:rsid w:val="00F70834"/>
    <w:rsid w:val="00F90E0A"/>
    <w:rsid w:val="00F95DEC"/>
    <w:rsid w:val="00F96520"/>
    <w:rsid w:val="00FB7858"/>
    <w:rsid w:val="00FC3DD1"/>
    <w:rsid w:val="00FC4409"/>
    <w:rsid w:val="00FD4570"/>
    <w:rsid w:val="00FE4519"/>
    <w:rsid w:val="00FE7F29"/>
    <w:rsid w:val="00FF3F9D"/>
    <w:rsid w:val="01E5594B"/>
    <w:rsid w:val="023D5C53"/>
    <w:rsid w:val="028F402A"/>
    <w:rsid w:val="02E1776D"/>
    <w:rsid w:val="03B7614C"/>
    <w:rsid w:val="042B4587"/>
    <w:rsid w:val="07334A29"/>
    <w:rsid w:val="0A4F27DA"/>
    <w:rsid w:val="0C576692"/>
    <w:rsid w:val="0F734034"/>
    <w:rsid w:val="13396B31"/>
    <w:rsid w:val="146D5698"/>
    <w:rsid w:val="1B253A6F"/>
    <w:rsid w:val="1BC71C88"/>
    <w:rsid w:val="1C014BD1"/>
    <w:rsid w:val="1D3E1CE4"/>
    <w:rsid w:val="1F080890"/>
    <w:rsid w:val="1FE77F68"/>
    <w:rsid w:val="21272055"/>
    <w:rsid w:val="218116E8"/>
    <w:rsid w:val="21B67CC7"/>
    <w:rsid w:val="27083860"/>
    <w:rsid w:val="27373D58"/>
    <w:rsid w:val="27F65116"/>
    <w:rsid w:val="28E739B7"/>
    <w:rsid w:val="2939584E"/>
    <w:rsid w:val="2AFC70B6"/>
    <w:rsid w:val="2C1F4500"/>
    <w:rsid w:val="2C313EBF"/>
    <w:rsid w:val="2C4D08D3"/>
    <w:rsid w:val="2E3B1CA5"/>
    <w:rsid w:val="2F185EF8"/>
    <w:rsid w:val="3459026C"/>
    <w:rsid w:val="353114E7"/>
    <w:rsid w:val="36E940EA"/>
    <w:rsid w:val="37057872"/>
    <w:rsid w:val="37EE7837"/>
    <w:rsid w:val="38FC2C31"/>
    <w:rsid w:val="39BC7152"/>
    <w:rsid w:val="3AA67ABC"/>
    <w:rsid w:val="3B1F2C90"/>
    <w:rsid w:val="3B8E19ED"/>
    <w:rsid w:val="3BB43B1C"/>
    <w:rsid w:val="3BC50C8C"/>
    <w:rsid w:val="3EDF0F9B"/>
    <w:rsid w:val="3F057774"/>
    <w:rsid w:val="3F9A2172"/>
    <w:rsid w:val="402221EC"/>
    <w:rsid w:val="41BB6632"/>
    <w:rsid w:val="42350112"/>
    <w:rsid w:val="48A350E6"/>
    <w:rsid w:val="49356873"/>
    <w:rsid w:val="495914EF"/>
    <w:rsid w:val="49F6654F"/>
    <w:rsid w:val="4B891290"/>
    <w:rsid w:val="4BA12F59"/>
    <w:rsid w:val="4FB03391"/>
    <w:rsid w:val="520203A5"/>
    <w:rsid w:val="562C577E"/>
    <w:rsid w:val="57272899"/>
    <w:rsid w:val="58E04E5C"/>
    <w:rsid w:val="59696580"/>
    <w:rsid w:val="5AB978B3"/>
    <w:rsid w:val="5C7F200D"/>
    <w:rsid w:val="5C802A65"/>
    <w:rsid w:val="5CF1151C"/>
    <w:rsid w:val="5EA140C5"/>
    <w:rsid w:val="5EAA2187"/>
    <w:rsid w:val="5F9235CD"/>
    <w:rsid w:val="61D737F5"/>
    <w:rsid w:val="62E12DF7"/>
    <w:rsid w:val="631926F5"/>
    <w:rsid w:val="64F3420C"/>
    <w:rsid w:val="69EF00B9"/>
    <w:rsid w:val="6AC14B8C"/>
    <w:rsid w:val="70283684"/>
    <w:rsid w:val="70B60F9B"/>
    <w:rsid w:val="70BE227E"/>
    <w:rsid w:val="75382301"/>
    <w:rsid w:val="756F435C"/>
    <w:rsid w:val="766E6783"/>
    <w:rsid w:val="79B90596"/>
    <w:rsid w:val="7BAD6170"/>
    <w:rsid w:val="7C183DE7"/>
    <w:rsid w:val="7CDE1869"/>
    <w:rsid w:val="7DFA08C7"/>
    <w:rsid w:val="7EBC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0" w:semiHidden="0" w:name="heading 2" w:locked="1"/>
    <w:lsdException w:qFormat="1" w:unhideWhenUsed="0" w:uiPriority="0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 w:locked="1"/>
    <w:lsdException w:unhideWhenUsed="0" w:uiPriority="0" w:semiHidden="0" w:name="toc 2" w:locked="1"/>
    <w:lsdException w:qFormat="1"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 w:locked="1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 w:locked="1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 w:locked="1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locked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locked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9"/>
    <w:qFormat/>
    <w:uiPriority w:val="0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locked/>
    <w:uiPriority w:val="0"/>
    <w:pPr>
      <w:ind w:left="840" w:leftChars="400"/>
    </w:pPr>
  </w:style>
  <w:style w:type="paragraph" w:styleId="6">
    <w:name w:val="Balloon Text"/>
    <w:basedOn w:val="1"/>
    <w:link w:val="20"/>
    <w:semiHidden/>
    <w:uiPriority w:val="0"/>
    <w:rPr>
      <w:kern w:val="0"/>
      <w:sz w:val="18"/>
      <w:szCs w:val="18"/>
    </w:rPr>
  </w:style>
  <w:style w:type="paragraph" w:styleId="7">
    <w:name w:val="foot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8">
    <w:name w:val="header"/>
    <w:basedOn w:val="1"/>
    <w:link w:val="2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9">
    <w:name w:val="toc 1"/>
    <w:basedOn w:val="1"/>
    <w:next w:val="1"/>
    <w:locked/>
    <w:uiPriority w:val="0"/>
  </w:style>
  <w:style w:type="paragraph" w:styleId="10">
    <w:name w:val="toc 2"/>
    <w:basedOn w:val="1"/>
    <w:next w:val="1"/>
    <w:locked/>
    <w:uiPriority w:val="0"/>
    <w:pPr>
      <w:ind w:left="420" w:leftChars="200"/>
    </w:p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12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qFormat/>
    <w:locked/>
    <w:uiPriority w:val="0"/>
    <w:rPr>
      <w:b/>
    </w:rPr>
  </w:style>
  <w:style w:type="character" w:styleId="17">
    <w:name w:val="page number"/>
    <w:qFormat/>
    <w:uiPriority w:val="0"/>
  </w:style>
  <w:style w:type="character" w:styleId="18">
    <w:name w:val="Emphasis"/>
    <w:qFormat/>
    <w:locked/>
    <w:uiPriority w:val="0"/>
    <w:rPr>
      <w:i/>
    </w:rPr>
  </w:style>
  <w:style w:type="character" w:customStyle="1" w:styleId="19">
    <w:name w:val="标题 3 字符"/>
    <w:link w:val="4"/>
    <w:semiHidden/>
    <w:qFormat/>
    <w:locked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0">
    <w:name w:val="批注框文本 字符"/>
    <w:link w:val="6"/>
    <w:semiHidden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页脚 字符"/>
    <w:link w:val="7"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页眉 字符"/>
    <w:link w:val="8"/>
    <w:locked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23">
    <w:name w:val="中文首行缩进"/>
    <w:basedOn w:val="1"/>
    <w:uiPriority w:val="0"/>
    <w:pPr>
      <w:suppressAutoHyphens/>
      <w:ind w:firstLine="495"/>
      <w:jc w:val="left"/>
    </w:pPr>
    <w:rPr>
      <w:kern w:val="0"/>
      <w:sz w:val="24"/>
      <w:szCs w:val="24"/>
    </w:rPr>
  </w:style>
  <w:style w:type="paragraph" w:customStyle="1" w:styleId="24">
    <w:name w:val="List Paragraph1"/>
    <w:basedOn w:val="1"/>
    <w:qFormat/>
    <w:uiPriority w:val="0"/>
    <w:pPr>
      <w:ind w:firstLine="420" w:firstLineChars="200"/>
    </w:pPr>
  </w:style>
  <w:style w:type="paragraph" w:styleId="2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22</Pages>
  <Words>6148</Words>
  <Characters>14598</Characters>
  <Lines>2216</Lines>
  <Paragraphs>1700</Paragraphs>
  <TotalTime>0</TotalTime>
  <ScaleCrop>false</ScaleCrop>
  <LinksUpToDate>false</LinksUpToDate>
  <CharactersWithSpaces>16479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2026-05-26T05:01:00Z</dcterms:created>
  <dc:creator>张明卫</dc:creator>
  <cp:lastModifiedBy>王  修呈</cp:lastModifiedBy>
  <dcterms:modified xsi:type="dcterms:W3CDTF">2026-05-26T15:20:01Z</dcterms:modified>
  <dc:title>课程编号：B080101020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F3B367825D9244208B809990E6E605C9</vt:lpwstr>
  </property>
  <property fmtid="{D5CDD505-2E9C-101B-9397-08002B2CF9AE}" pid="4" name="KSOTemplateDocerSaveRecord">
    <vt:lpwstr>eyJoZGlkIjoiNjYxMzY0ZWU0NzBlYzcwNDA0MjIyMDdjYTNmOTY3NmIiLCJ1c2VySWQiOiI0Mzk0Nzk3MDQifQ==</vt:lpwstr>
  </property>
</Properties>
</file>