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60"/>
      </w:pPr>
      <w:r>
        <w:rPr>
          <w:rFonts w:ascii="TH Sarabun PSK" w:hAnsi="TH Sarabun PSK"/>
          <w:b/>
          <w:i w:val="0"/>
          <w:color w:val="1B365D"/>
          <w:sz w:val="40"/>
          <w:rFonts w:ascii="TH Sarabun PSK" w:hAnsi="TH Sarabun PSK" w:cs="TH Sarabun PSK" w:eastAsia="TH Sarabun PSK"/>
        </w:rPr>
        <w:t>นโยบายความเป็นส่วนตัว (Privacy Policy) — ฉบับร่าง (DRAFT)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EF2F2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left w:val="single" w:sz="24" w:space="0" w:color="EF4444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สถานะ: ฉบับร่างเบื้องต้น (DRAFT) — ยังไม่พร้อมเผยแพร่ใช้งานจริง</w:t>
            </w:r>
          </w:p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จัดทำโดย AI เพื่อเป็นจุดเริ่มต้น ไม่ใช่เอกสารกฎหมายที่ผ่านการตรวจสอบ 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ต้องให้ทนายความหรือที่ปรึกษากฎหมายที่มีใบอนุญาต (โดยเฉพาะด้าน PDPA) ตรวจสอบและแก้ไขก่อนเผยแพร่ใช้งานจริงเสมอ</w:t>
            </w:r>
          </w:p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ช่องที่มีเครื่องหมาย </w:t>
            </w:r>
            <w:r>
              <w:rPr>
                <w:rFonts w:ascii="Calibri" w:hAnsi="Calibri"/>
                <w:b/>
                <w:i w:val="0"/>
                <w:color w:val="B45309"/>
                <w:sz w:val="24"/>
                <w:rFonts w:ascii="Calibri" w:hAnsi="Calibri" w:cs="Calibri" w:eastAsia="Calibri"/>
              </w:rPr>
              <w:t>[ต้องกรอก]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คือจุดที่เจ้าของร้าน/แพลตฟอร์มต้องกรอกข้อมูลจริงเอง AI ไม่สามารถกรอกแทนได้</w:t>
            </w:r>
          </w:p>
          <w:p>
            <w:pPr>
              <w:spacing w:before="40" w:after="40" w:line="276" w:lineRule="auto"/>
            </w:pPr>
          </w:p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รอบแก้ไขนี้ (2026-09-10) ปรับปรุงตามข้อสังเกตของทนาย/นักบัญชีที่ทบทวนฉบับร่างเดิม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จุดที่แก้ไข: (1) ฐานทางกฎหมายของ GPS แยกตามกิจกรรมแทนที่จะล็อกเป็น Consent อย่างเดียว (2) เพิ่มหัวข้อเฉพาะสำหรับข้อมูลจากคอมเมนต์ Facebook (3) กำหนดสถานะ Controller/Processor ของแพลตฟอร์ม (4) เพิ่มสิทธิเจ้าของข้อมูลที่ขาดไป (5) แยกระยะเวลาเก็บข้อมูลตามประเภทเอกสาร (บัญชี/ภาษี vs. operational) — </w:t>
            </w:r>
            <w:r>
              <w:rPr>
                <w:rFonts w:ascii="TH Sarabun PSK" w:hAnsi="TH Sarabun PSK"/>
                <w:b/>
                <w:i w:val="0"/>
                <w:color w:val="B91C1C"/>
                <w:sz w:val="26"/>
                <w:rFonts w:ascii="TH Sarabun PSK" w:hAnsi="TH Sarabun PSK" w:cs="TH Sarabun PSK" w:eastAsia="TH Sarabun PSK"/>
              </w:rPr>
              <w:t>จุดที่ยังต้องให้ทนายยืนยันเป็นพิเศษจะกำกับด้วย 🔴/🟠 ตามความเร่งด่วน</w:t>
            </w:r>
          </w:p>
        </w:tc>
      </w:tr>
    </w:tbl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ปรับปรุงล่าสุด: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[ต้องกรอกวันที่ก่อนเผยแพร่จริง]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ผู้ควบคุมข้อมูลส่วนบุคคล: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[ชื่อร้าน/นิติบุคคล — ต้องกรอก]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ช่องทางติดต่อเรื่องข้อมูลส่วนบุคคล: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[อีเมล/เบอร์โทร — ต้องกรอก]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1. นโยบายนี้ใช้กับใคร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นโยบายนี้ใช้กับผู้ใช้บริการสั่งอาหารผ่านระบบ RAN-R-HAN ทุกช่องทาง ได้แก่ การสั่งซื้อออนไลน์ผ่านเว็บไซต์ การสั่งหน้าร้าน (Walk-in) และการสั่งผ่านระบบพรีออเดอร์ (คอมเมนต์ Facebook)</w:t>
      </w: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2. ข้อมูลส่วนบุคคลที่เราเก็บ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เราเก็บข้อมูลเท่าที่จำเป็นต่อการให้บริการสั่ง/รับ/จัดส่งอาหารเท่านั้น ได้แก่: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E3A8A"/>
              <w:bottom w:val="single" w:sz="4" w:space="0" w:color="0F172A"/>
              <w:left w:val="single" w:sz="4" w:space="0" w:color="2563EB"/>
              <w:right w:val="single" w:sz="4" w:space="0" w:color="2563EB"/>
            </w:tcBorders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TH Sarabun PSK" w:hAnsi="TH Sarabun PSK"/>
                <w:b/>
                <w:i w:val="0"/>
                <w:color w:val="FFFFFF"/>
                <w:sz w:val="26"/>
                <w:rFonts w:ascii="TH Sarabun PSK" w:hAnsi="TH Sarabun PSK" w:cs="TH Sarabun PSK" w:eastAsia="TH Sarabun PSK"/>
              </w:rPr>
              <w:t>ประเภทข้อมูล</w:t>
            </w:r>
          </w:p>
        </w:tc>
        <w:tc>
          <w:tcPr>
            <w:tcW w:type="dxa" w:w="301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E3A8A"/>
              <w:bottom w:val="single" w:sz="4" w:space="0" w:color="0F172A"/>
              <w:left w:val="single" w:sz="4" w:space="0" w:color="2563EB"/>
              <w:right w:val="single" w:sz="4" w:space="0" w:color="2563EB"/>
            </w:tcBorders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TH Sarabun PSK" w:hAnsi="TH Sarabun PSK"/>
                <w:b/>
                <w:i w:val="0"/>
                <w:color w:val="FFFFFF"/>
                <w:sz w:val="26"/>
                <w:rFonts w:ascii="TH Sarabun PSK" w:hAnsi="TH Sarabun PSK" w:cs="TH Sarabun PSK" w:eastAsia="TH Sarabun PSK"/>
              </w:rPr>
              <w:t>ตัวอย่าง</w:t>
            </w:r>
          </w:p>
        </w:tc>
        <w:tc>
          <w:tcPr>
            <w:tcW w:type="dxa" w:w="301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E3A8A"/>
              <w:bottom w:val="single" w:sz="4" w:space="0" w:color="0F172A"/>
              <w:left w:val="single" w:sz="4" w:space="0" w:color="2563EB"/>
              <w:right w:val="single" w:sz="4" w:space="0" w:color="2563EB"/>
            </w:tcBorders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TH Sarabun PSK" w:hAnsi="TH Sarabun PSK"/>
                <w:b/>
                <w:i w:val="0"/>
                <w:color w:val="FFFFFF"/>
                <w:sz w:val="26"/>
                <w:rFonts w:ascii="TH Sarabun PSK" w:hAnsi="TH Sarabun PSK" w:cs="TH Sarabun PSK" w:eastAsia="TH Sarabun PSK"/>
              </w:rPr>
              <w:t>เก็บเมื่อไหร่</w:t>
            </w:r>
          </w:p>
        </w:tc>
      </w:tr>
      <w:tr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ชื่อ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ชื่อผู้สั่ง/ผู้รับสินค้า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เมื่อสั่งซื้อทุกช่องทาง</w:t>
            </w:r>
          </w:p>
        </w:tc>
      </w:tr>
      <w:tr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เบอร์โทรศัพท์</w:t>
            </w:r>
          </w:p>
        </w:tc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เบอร์ติดต่อ</w:t>
            </w:r>
          </w:p>
        </w:tc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เมื่อสั่งซื้อทุกช่องทาง</w:t>
            </w:r>
          </w:p>
        </w:tc>
      </w:tr>
      <w:tr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ที่อยู่จัดส่ง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ที่อยู่สำหรับบริการจัดส่ง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เฉพาะกรณีเลือกบริการจัดส่ง</w:t>
            </w:r>
          </w:p>
        </w:tc>
      </w:tr>
      <w:tr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พิกัดตำแหน่ง (GPS)</w:t>
            </w:r>
          </w:p>
        </w:tc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ละติจูด/ลองจิจูด</w:t>
            </w:r>
          </w:p>
        </w:tc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เฉพาะกรณีลูกค้ากดยืนยันแชร์ตำแหน่งเพื่อจัดส่ง (ปุ่ม "Get GPS" เป็นทางเลือกเสริม ไม่บังคับ)</w:t>
            </w:r>
          </w:p>
        </w:tc>
      </w:tr>
      <w:tr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ประวัติการสั่งซื้อ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รายการอาหาร ยอดเงิน วันเวลา สถานะออเดอร์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ทุกครั้งที่สั่งซื้อ</w:t>
            </w:r>
          </w:p>
        </w:tc>
      </w:tr>
      <w:tr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ข้อมูลการชำระเงิน</w:t>
            </w:r>
          </w:p>
        </w:tc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หลักฐานการโอนเงิน (สลิป) ที่ส่งผ่านระบบตรวจสอบอัตโนมัติ</w:t>
            </w:r>
          </w:p>
        </w:tc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เฉพาะกรณีชำระผ่าน PromptPay</w:t>
            </w:r>
          </w:p>
        </w:tc>
      </w:tr>
      <w:tr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ข้อมูลจากคอมเมนต์ Facebook (เฉพาะระบบพรีออเดอร์)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ชื่อ/เบอร์/ที่อยู่/รายการที่พิมพ์ในคอมเมนต์เพื่อสั่งซื้อ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เมื่อพนักงานร้านนำเข้าข้อมูลจากคอมเมนต์เพื่อจัดรอบส่งของ — ดูรายละเอียดกระบวนการเฉพาะในข้อ 5</w:t>
            </w:r>
          </w:p>
        </w:tc>
      </w:tr>
    </w:tbl>
    <w:p>
      <w:pPr>
        <w:spacing w:before="40" w:after="80"/>
      </w:pP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เราไม่เก็บ: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ข้อมูลบัตรเครดิต/เดบิต (ระบบใช้การโอนผ่าน PromptPay โดยตรงกับธนาคาร ไม่ผ่านแพลตฟอร์ม), รหัสผ่านธนาคาร</w:t>
      </w: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3. เราเก็บข้อมูลเพื่อวัตถุประสงค์ใด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เพื่อดำเนินการตามคำสั่งซื้อ (จัดเตรียมอาหาร แจ้งสถานะ จัดส่ง/นัดรับ)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เพื่อตรวจสอบและยืนยันการชำระเงิน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เพื่อติดต่อกรณีมีปัญหาเกี่ยวกับคำสั่งซื้อ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เพื่อป้องกันการฉ้อโกง (เช่น ตรวจจับสลิปปลอม/สลิปซ้ำ)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เราจะ</w:t>
      </w: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ไม่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นำข้อมูลไปใช้เพื่อการตลาดหรือส่งต่อให้บุคคลที่สามเพื่อวัตถุประสงค์อื่นนอกเหนือจากที่ระบุในนโยบายนี้ [ต้องกรอก/ยืนยัน — ถ้าร้านมีแผนใช้ข้อมูลเพื่อการตลาดในอนาคต ต้องปรับข้อนี้และเพิ่มช่อง consent แยกต่างหาก]</w:t>
      </w: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4. ฐานทางกฎหมายในการประมวลผลข้อมูล (แยกตามกิจกรรม)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FFBEB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left w:val="single" w:sz="24" w:space="0" w:color="F59E0B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🟠 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ข้อสังเกตจากทนาย (นำมาแก้ไขแล้วในรอบนี้):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ไม่ใช่ทุกกรณีที่ใช้ข้อมูล GPS ต้องอาศัยฐานความยินยอมเสมอไป — ต้องพิจารณาฐานทางกฎหมายที่เหมาะสม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เป็นรายกิจกรรมการประมวลผล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ไม่ใช่ผูกกับ "ประเภทข้อมูล" แบบเหมารวม ตารางด้านล่างนี้แยกตามกิจกรรมจริงของระบบ 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แต่การเลือกฐานที่แสดงยังเป็นการประเมินเบื้องต้นของ AI ต้องให้ทนายยืนยันแต่ละแถวก่อนเผยแพร่จริง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E3A8A"/>
              <w:bottom w:val="single" w:sz="4" w:space="0" w:color="0F172A"/>
              <w:left w:val="single" w:sz="4" w:space="0" w:color="2563EB"/>
              <w:right w:val="single" w:sz="4" w:space="0" w:color="2563EB"/>
            </w:tcBorders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TH Sarabun PSK" w:hAnsi="TH Sarabun PSK"/>
                <w:b/>
                <w:i w:val="0"/>
                <w:color w:val="FFFFFF"/>
                <w:sz w:val="26"/>
                <w:rFonts w:ascii="TH Sarabun PSK" w:hAnsi="TH Sarabun PSK" w:cs="TH Sarabun PSK" w:eastAsia="TH Sarabun PSK"/>
              </w:rPr>
              <w:t>กิจกรรมการประมวลผล</w:t>
            </w:r>
          </w:p>
        </w:tc>
        <w:tc>
          <w:tcPr>
            <w:tcW w:type="dxa" w:w="2257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E3A8A"/>
              <w:bottom w:val="single" w:sz="4" w:space="0" w:color="0F172A"/>
              <w:left w:val="single" w:sz="4" w:space="0" w:color="2563EB"/>
              <w:right w:val="single" w:sz="4" w:space="0" w:color="2563EB"/>
            </w:tcBorders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TH Sarabun PSK" w:hAnsi="TH Sarabun PSK"/>
                <w:b/>
                <w:i w:val="0"/>
                <w:color w:val="FFFFFF"/>
                <w:sz w:val="26"/>
                <w:rFonts w:ascii="TH Sarabun PSK" w:hAnsi="TH Sarabun PSK" w:cs="TH Sarabun PSK" w:eastAsia="TH Sarabun PSK"/>
              </w:rPr>
              <w:t>ข้อมูลที่เกี่ยวข้อง</w:t>
            </w:r>
          </w:p>
        </w:tc>
        <w:tc>
          <w:tcPr>
            <w:tcW w:type="dxa" w:w="2257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E3A8A"/>
              <w:bottom w:val="single" w:sz="4" w:space="0" w:color="0F172A"/>
              <w:left w:val="single" w:sz="4" w:space="0" w:color="2563EB"/>
              <w:right w:val="single" w:sz="4" w:space="0" w:color="2563EB"/>
            </w:tcBorders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TH Sarabun PSK" w:hAnsi="TH Sarabun PSK"/>
                <w:b/>
                <w:i w:val="0"/>
                <w:color w:val="FFFFFF"/>
                <w:sz w:val="26"/>
                <w:rFonts w:ascii="TH Sarabun PSK" w:hAnsi="TH Sarabun PSK" w:cs="TH Sarabun PSK" w:eastAsia="TH Sarabun PSK"/>
              </w:rPr>
              <w:t>ฐานทางกฎหมายที่เสนอ</w:t>
            </w:r>
          </w:p>
        </w:tc>
        <w:tc>
          <w:tcPr>
            <w:tcW w:type="dxa" w:w="2257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E3A8A"/>
              <w:bottom w:val="single" w:sz="4" w:space="0" w:color="0F172A"/>
              <w:left w:val="single" w:sz="4" w:space="0" w:color="2563EB"/>
              <w:right w:val="single" w:sz="4" w:space="0" w:color="2563EB"/>
            </w:tcBorders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TH Sarabun PSK" w:hAnsi="TH Sarabun PSK"/>
                <w:b/>
                <w:i w:val="0"/>
                <w:color w:val="FFFFFF"/>
                <w:sz w:val="26"/>
                <w:rFonts w:ascii="TH Sarabun PSK" w:hAnsi="TH Sarabun PSK" w:cs="TH Sarabun PSK" w:eastAsia="TH Sarabun PSK"/>
              </w:rPr>
              <w:t>เหตุผล</w:t>
            </w:r>
          </w:p>
        </w:tc>
      </w:tr>
      <w:tr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รับคำสั่งซื้อ/จัดเตรียมอาหาร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ชื่อ, เบอร์โทร, รายการอาหาร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ความจำเป็นเพื่อปฏิบัติตามสัญญา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เป็นข้อมูลขั้นต่ำที่ขาดไม่ได้ในการทำสัญญาซื้อขาย</w:t>
            </w:r>
          </w:p>
        </w:tc>
      </w:tr>
      <w:tr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จัดส่งสินค้าโดยใช้ที่อยู่ (ตัวอักษร)</w:t>
            </w:r>
          </w:p>
        </w:tc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ที่อยู่จัดส่ง</w:t>
            </w:r>
          </w:p>
        </w:tc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ความจำเป็นเพื่อปฏิบัติตามสัญญา</w:t>
            </w:r>
          </w:p>
        </w:tc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จำเป็นต่อการส่งมอบสินค้าตามที่ตกลง</w:t>
            </w:r>
          </w:p>
        </w:tc>
      </w:tr>
      <w:tr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ระบุตำแหน่งด้วย GPS (แม่นยำกว่าที่อยู่ตัวอักษร)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พิกัด GPS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ความยินยอม (Consent)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เป็นข้อมูลเสริมความแม่นยำ </w:t>
            </w:r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ไม่ใช่ข้อมูลจำเป็นขั้นต่ำ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 ของสัญญา (ระบบยังทำงานได้ด้วยที่อยู่ตัวอักษรอย่างเดียว) — จึงเหมาะสมกว่าที่จะให้ลูกค้าเลือกเองผ่านปุ่มกดยินยอมแยกต่างหาก ไม่ผูกเป็นเงื่อนไขบังคับของสัญญา</w:t>
            </w:r>
          </w:p>
        </w:tc>
      </w:tr>
      <w:tr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ตรวจสอบและยืนยันการชำระเงิน</w:t>
            </w:r>
          </w:p>
        </w:tc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หลักฐานการโอน/สลิป</w:t>
            </w:r>
          </w:p>
        </w:tc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ความจำเป็นเพื่อปฏิบัติตามสัญญา</w:t>
            </w:r>
          </w:p>
        </w:tc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การยืนยันการชำระเงินเป็นส่วนหนึ่งของการปฏิบัติตามสัญญาซื้อขาย</w:t>
            </w:r>
          </w:p>
        </w:tc>
      </w:tr>
      <w:tr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ป้องกันการฉ้อโกง (สลิปปลอม/สลิปซ้ำ)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ข้อมูลธุรกรรม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ประโยชน์โดยชอบด้วยกฎหมาย (Legitimate Interest) </w:t>
            </w:r>
            <w:r>
              <w:rPr>
                <w:rFonts w:ascii="Calibri" w:hAnsi="Calibri"/>
                <w:b/>
                <w:i w:val="0"/>
                <w:color w:val="B45309"/>
                <w:sz w:val="23"/>
                <w:rFonts w:ascii="Calibri" w:hAnsi="Calibri" w:cs="Calibri" w:eastAsia="Calibri"/>
              </w:rPr>
              <w:t>[ต้องทนายยืนยัน — ต้องผ่านการทดสอบ Balancing Test ว่าประโยชน์ของผู้ควบคุมไม่กระทบสิทธิเจ้าของข้อมูลเกินสมควร]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ป้องกันความเสียหายทางการเงินของร้านและระบบ</w:t>
            </w:r>
          </w:p>
        </w:tc>
      </w:tr>
      <w:tr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เก็บเอกสารประกอบบัญชี/ภาษี</w:t>
            </w:r>
          </w:p>
        </w:tc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ประวัติคำสั่งซื้อที่ชำระเงินสำเร็จ, สลิป</w:t>
            </w:r>
          </w:p>
        </w:tc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การปฏิบัติตามกฎหมาย (Legal Obligation)</w:t>
            </w:r>
          </w:p>
        </w:tc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พ.ร.บ.การบัญชี และประมวลรัษฎากรบังคับให้เก็บเอกสารประกอบการลงบัญชี</w:t>
            </w:r>
          </w:p>
        </w:tc>
      </w:tr>
      <w:tr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ข้อมูลจากคอมเมนต์ Facebook (พรีออเดอร์)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ชื่อ/เบอร์/ที่อยู่ที่ลูกค้าพิมพ์ในคอมเมนต์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i w:val="0"/>
                <w:color w:val="B45309"/>
                <w:sz w:val="23"/>
                <w:rFonts w:ascii="Calibri" w:hAnsi="Calibri" w:cs="Calibri" w:eastAsia="Calibri"/>
              </w:rPr>
              <w:t>[ต้องทนายยืนยัน — ดูรายละเอียดในข้อ 5]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เป็นกรณีซับซ้อนที่สุด แยกอธิบายเป็นข้อ 5 โดยเฉพาะ</w:t>
            </w:r>
          </w:p>
        </w:tc>
      </w:tr>
      <w:tr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การเข้าถึงเพื่อสนับสนุนทางเทคนิค (Superadmin)</w:t>
            </w:r>
          </w:p>
        </w:tc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ข้อมูลร้านค้า/ลูกค้าที่จำเป็นต่อการแก้ปัญหา</w:t>
            </w:r>
          </w:p>
        </w:tc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ความยินยอมของร้านค้า (ชั่วคราว มีวันหมดอายุ)</w:t>
            </w:r>
          </w:p>
        </w:tc>
        <w:tc>
          <w:tcPr>
            <w:tcW w:type="dxa" w:w="2257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ดูสถานะ Controller/Processor เพิ่มเติมในข้อ 6</w:t>
            </w:r>
          </w:p>
        </w:tc>
      </w:tr>
    </w:tbl>
    <w:p>
      <w:pPr>
        <w:spacing w:before="40" w:after="80"/>
      </w:pP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5. ข้อมูลจากคอมเมนต์ Facebook (ระบบพรีออเดอร์) — กระบวนการเฉพาะ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EF2F2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left w:val="single" w:sz="24" w:space="0" w:color="EF4444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🔴 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จุดที่ทนายให้ความเห็นว่าต้องตรวจสอบก่อนเผยแพร่ที่สุด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— เอกสารนี้ตอบคำถามเท่าที่ตรวจสอบได้จากระบบจริง ส่วนที่ยังไม่มีคำตอบให้ไว้ชัดจะกำกับว่า </w:t>
            </w:r>
            <w:r>
              <w:rPr>
                <w:rFonts w:ascii="Calibri" w:hAnsi="Calibri"/>
                <w:b/>
                <w:i w:val="0"/>
                <w:color w:val="B45309"/>
                <w:sz w:val="24"/>
                <w:rFonts w:ascii="Calibri" w:hAnsi="Calibri" w:cs="Calibri" w:eastAsia="Calibri"/>
              </w:rPr>
              <w:t>[ต้องทนายยืนยัน]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หรือ </w:t>
            </w:r>
            <w:r>
              <w:rPr>
                <w:rFonts w:ascii="Calibri" w:hAnsi="Calibri"/>
                <w:b/>
                <w:i w:val="0"/>
                <w:color w:val="B45309"/>
                <w:sz w:val="24"/>
                <w:rFonts w:ascii="Calibri" w:hAnsi="Calibri" w:cs="Calibri" w:eastAsia="Calibri"/>
              </w:rPr>
              <w:t>[ต้องกรอก]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E3A8A"/>
              <w:bottom w:val="single" w:sz="4" w:space="0" w:color="0F172A"/>
              <w:left w:val="single" w:sz="4" w:space="0" w:color="2563EB"/>
              <w:right w:val="single" w:sz="4" w:space="0" w:color="2563EB"/>
            </w:tcBorders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TH Sarabun PSK" w:hAnsi="TH Sarabun PSK"/>
                <w:b/>
                <w:i w:val="0"/>
                <w:color w:val="FFFFFF"/>
                <w:sz w:val="26"/>
                <w:rFonts w:ascii="TH Sarabun PSK" w:hAnsi="TH Sarabun PSK" w:cs="TH Sarabun PSK" w:eastAsia="TH Sarabun PSK"/>
              </w:rPr>
              <w:t>คำถาม</w:t>
            </w:r>
          </w:p>
        </w:tc>
        <w:tc>
          <w:tcPr>
            <w:tcW w:type="dxa" w:w="4514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E3A8A"/>
              <w:bottom w:val="single" w:sz="4" w:space="0" w:color="0F172A"/>
              <w:left w:val="single" w:sz="4" w:space="0" w:color="2563EB"/>
              <w:right w:val="single" w:sz="4" w:space="0" w:color="2563EB"/>
            </w:tcBorders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TH Sarabun PSK" w:hAnsi="TH Sarabun PSK"/>
                <w:b/>
                <w:i w:val="0"/>
                <w:color w:val="FFFFFF"/>
                <w:sz w:val="26"/>
                <w:rFonts w:ascii="TH Sarabun PSK" w:hAnsi="TH Sarabun PSK" w:cs="TH Sarabun PSK" w:eastAsia="TH Sarabun PSK"/>
              </w:rPr>
              <w:t>คำตอบปัจจุบัน (จากการตรวจสอบระบบจริง)</w:t>
            </w:r>
          </w:p>
        </w:tc>
      </w:tr>
      <w:tr>
        <w:tc>
          <w:tcPr>
            <w:tcW w:type="dxa" w:w="451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ใครเป็นผู้ควบคุมข้อมูล (Controller) สำหรับกิจกรรมนี้?</w:t>
            </w:r>
          </w:p>
        </w:tc>
        <w:tc>
          <w:tcPr>
            <w:tcW w:type="dxa" w:w="451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i w:val="0"/>
                <w:color w:val="B45309"/>
                <w:sz w:val="23"/>
                <w:rFonts w:ascii="Calibri" w:hAnsi="Calibri" w:cs="Calibri" w:eastAsia="Calibri"/>
              </w:rPr>
              <w:t>[ต้องทนายยืนยัน]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 — แนวทางเบื้องต้น: ร้านค้าน่าจะเป็นผู้ควบคุมข้อมูล เพราะร้านเป็นผู้ตัดสินใจเก็บข้อมูลจากคอมเมนต์และนำไปใช้จัดส่ง ส่วนแพลตฟอร์ม RAN-R-HAN เป็นผู้จัดหาเครื่องมือ (parser/ฐานข้อมูล) ให้ร้านใช้งาน — สถานะแพลตฟอร์มในกิจกรรมนี้เชื่อมโยงกับคำถามเรื่อง Controller/Processor โดยรวมในข้อ 6 ด้วย</w:t>
            </w:r>
          </w:p>
        </w:tc>
      </w:tr>
      <w:tr>
        <w:tc>
          <w:tcPr>
            <w:tcW w:type="dxa" w:w="451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ร้านได้รับข้อมูลมาอย่างไร?</w:t>
            </w:r>
          </w:p>
        </w:tc>
        <w:tc>
          <w:tcPr>
            <w:tcW w:type="dxa" w:w="451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ลูกค้าพิมพ์คอมเมนต์ (ชื่อ/เบอร์/ที่อยู่/รายการที่ต้องการ) ในโพสต์เปิดรอบสั่งซื้อของกลุ่ม Facebook สาธารณะ/กึ่งสาธารณะ "กาดแม่ฮ่องสอน" — </w:t>
            </w:r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ไม่ใช่การกรอกข้อมูลให้ร้านโดยตรงผ่านระบบของร้าน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 จึงเป็น "ข้อมูลที่ได้จากแหล่งอื่นที่ไม่ใช่จากเจ้าของข้อมูลโดยตรง"</w:t>
            </w:r>
          </w:p>
        </w:tc>
      </w:tr>
      <w:tr>
        <w:tc>
          <w:tcPr>
            <w:tcW w:type="dxa" w:w="451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แจ้ง Privacy Notice ณ จุดเก็บข้อมูลอย่างไร?</w:t>
            </w:r>
          </w:p>
        </w:tc>
        <w:tc>
          <w:tcPr>
            <w:tcW w:type="dxa" w:w="451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ปัจจุบันมีเพียงข้อความแจ้งในภาคผนวกของเอกสาร Terms of Service (ฉบับร่าง) ที่</w:t>
            </w:r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เสนอ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ให้แปะในโพสต์เปิดรอบสั่งซื้อ — </w:t>
            </w:r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ยังไม่ได้ถูกนำไปใช้จริง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 ต้องยืนยันกับทนายว่าข้อความสั้นในภาคผนวกนั้นเพียงพอตามมาตรา 25 หรือต้องปรับเพิ่ม</w:t>
            </w:r>
          </w:p>
        </w:tc>
      </w:tr>
      <w:tr>
        <w:tc>
          <w:tcPr>
            <w:tcW w:type="dxa" w:w="451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ข้อมูลที่ลูกค้าโพสต์เป็นข้อมูลที่ร้านนำมาใช้เพื่อจัดส่งได้เพียงใด?</w:t>
            </w:r>
          </w:p>
        </w:tc>
        <w:tc>
          <w:tcPr>
            <w:tcW w:type="dxa" w:w="451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i w:val="0"/>
                <w:color w:val="B45309"/>
                <w:sz w:val="23"/>
                <w:rFonts w:ascii="Calibri" w:hAnsi="Calibri" w:cs="Calibri" w:eastAsia="Calibri"/>
              </w:rPr>
              <w:t>[ต้องทนายยืนยัน]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 — แนวทางเบื้องต้น: ควรจำกัดเฉพาะวัตถุประสงค์จัดเตรียม/จัดส่งสินค้าตามรอบนั้นเท่านั้น </w:t>
            </w:r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ห้ามนำไปใช้เพื่อการตลาด ติดต่อลูกค้าในภายหลังนอกรอบ หรือนำไปรวมกับฐานข้อมูลลูกค้าประจำโดยไม่ได้รับความยินยอมเพิ่มเติม</w:t>
            </w:r>
          </w:p>
        </w:tc>
      </w:tr>
      <w:tr>
        <w:tc>
          <w:tcPr>
            <w:tcW w:type="dxa" w:w="451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พนักงานนำข้อมูลจากคอมเมนต์เข้าฐานข้อมูลด้วยขั้นตอนอะไร?</w:t>
            </w:r>
          </w:p>
        </w:tc>
        <w:tc>
          <w:tcPr>
            <w:tcW w:type="dxa" w:w="451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ตรวจสอบจากระบบจริง: พนักงานคัดลอกข้อความคอมเมนต์ แล้ววางในหน้าแอดมิน ระบบมีตัวช่วยแยกข้อความอัตโนมัติ (parser) เพื่อแยกชื่อ/เบอร์โทร/ที่อยู่/รายการสินค้าออกจากข้อความอัตโนมัติ ก่อนพนักงานตรวจสอบและยืนยันบันทึกเข้าระบบ — </w:t>
            </w:r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ควรมีการบันทึก log ว่าพนักงานคนใดนำเข้าข้อมูลรอบใดเมื่อไหร่ เพื่อความรับผิดชอบตรวจสอบย้อนหลังได้ (accountability ตามหลัก PDPA)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 — ปัจจุบันยังไม่ยืนยันว่าระบบบันทึก log จุดนี้ครบถ้วนหรือไม่ </w:t>
            </w:r>
            <w:r>
              <w:rPr>
                <w:rFonts w:ascii="Calibri" w:hAnsi="Calibri"/>
                <w:b/>
                <w:i w:val="0"/>
                <w:color w:val="B45309"/>
                <w:sz w:val="23"/>
                <w:rFonts w:ascii="Calibri" w:hAnsi="Calibri" w:cs="Calibri" w:eastAsia="Calibri"/>
              </w:rPr>
              <w:t>[ต้องตรวจสอบเพิ่มเติมทางเทคนิค]</w:t>
            </w:r>
          </w:p>
        </w:tc>
      </w:tr>
      <w:tr>
        <w:tc>
          <w:tcPr>
            <w:tcW w:type="dxa" w:w="451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หลังจบรอบส่งของต้องลบอะไรบ้าง?</w:t>
            </w:r>
          </w:p>
        </w:tc>
        <w:tc>
          <w:tcPr>
            <w:tcW w:type="dxa" w:w="451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แนะนำ: ข้อมูลดิบจากคอมเมนต์ (raw comment text) ที่ไม่ได้กลายเป็นคำสั่งซื้อที่ชำระเงินสำเร็จ ควรลบภายใน 90 วันหลังจบรอบ (ดูข้อ 7) ส่วนข้อมูลที่กลายเป็นคำสั่งซื้อสำเร็จแล้วให้ถือเป็นเอกสารประกอบบัญชีตามระยะเวลาปกติ</w:t>
            </w:r>
          </w:p>
        </w:tc>
      </w:tr>
    </w:tbl>
    <w:p>
      <w:pPr>
        <w:spacing w:before="40" w:after="80"/>
      </w:pP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6. ใครเข้าถึงข้อมูลของท่านได้บ้าง และสถานะทางกฎหมายของแพลตฟอร์ม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พนักงาน/เจ้าของร้านที่ท่านสั่งซื้อด้วย (เพื่อจัดเตรียม/จัดส่งอาหาร)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ผู้ดูแลระบบแพลตฟอร์ม (Superadmin) </w:t>
      </w: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เฉพาะกรณีร้านค้าให้ความยินยอมชั่วคราวเพื่อขอรับการสนับสนุนทางเทคนิคเท่านั้น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และจะเข้าถึงได้ในช่วงเวลาที่จำกัดตามที่ร้านอนุญาต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ผู้ให้บริการตรวจสอบสลิปการชำระเงิน (SlipOK/OkSlip) เฉพาะข้อมูลธุรกรรมที่จำเป็นต่อการตรวจสอบยอดเงิน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เราจะ</w:t>
      </w: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ไม่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ขายข้อมูลส่วนบุคคลของท่านให้บุคคลที่สามเพื่อวัตถุประสงค์ทางการตลาด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EF2F2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left w:val="single" w:sz="24" w:space="0" w:color="EF4444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🔴 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ข้อสังเกตจากทนาย (สำคัญที่สุดข้อหนึ่ง — ยังไม่ได้ข้อสรุป):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คำว่า "ร้านให้ความยินยอมชั่วคราว" เพียงอย่างเดียว 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ไม่เพียงพอ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>ที่จะกำหนดสถานะทางกฎหมายของแพลตฟอร์มภายใต้ PDPA ต้องพิจารณาแยกให้ชัดว่าแพลตฟอร์ม RAN-R-HAN มีสถานะเป็น:</w:t>
            </w:r>
          </w:p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- 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ผู้ประมวลผลข้อมูล (Data Processor)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— ทำหน้าที่ประมวลผลข้อมูลลูกค้าตามคำสั่งของร้าน (ร้านเป็น Controller) เช่น การจัดเก็บ/แสดงผลข้อมูลคำสั่งซื้อในระบบ</w:t>
            </w:r>
          </w:p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- 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ผู้ควบคุมข้อมูลร่วม (Joint Controller)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— ในกิจกรรมที่แพลตฟอร์มมีอำนาจตัดสินใจร่วมกับร้าน เช่น การกำหนดนโยบายความปลอดภัยของระบบ หรือการเข้าถึงข้อมูลข้ามร้านของ Superadmin</w:t>
            </w:r>
          </w:p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- 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ผู้ควบคุมข้อมูลเอง (Controller)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— สำหรับข้อมูลบางส่วนที่แพลตฟอร์มเก็บเพื่อวัตถุประสงค์ของตัวเอง (เช่น บัญชีผู้ใช้ร้านค้า </w:t>
            </w:r>
            <w:r>
              <w:rPr>
                <w:rFonts w:ascii="Calibri" w:hAnsi="Calibri"/>
                <w:b/>
                <w:i w:val="0"/>
                <w:color w:val="B45309"/>
                <w:sz w:val="24"/>
                <w:rFonts w:ascii="Calibri" w:hAnsi="Calibri" w:cs="Calibri" w:eastAsia="Calibri"/>
              </w:rPr>
              <w:t>users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>/</w:t>
            </w:r>
            <w:r>
              <w:rPr>
                <w:rFonts w:ascii="Calibri" w:hAnsi="Calibri"/>
                <w:b/>
                <w:i w:val="0"/>
                <w:color w:val="B45309"/>
                <w:sz w:val="24"/>
                <w:rFonts w:ascii="Calibri" w:hAnsi="Calibri" w:cs="Calibri" w:eastAsia="Calibri"/>
              </w:rPr>
              <w:t>shops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>, การเก็บ log ความปลอดภัยของแพลตฟอร์มเอง, ข้อมูลการเรียกเก็บค่าบริการ)</w:t>
            </w:r>
          </w:p>
          <w:p>
            <w:pPr>
              <w:spacing w:before="40" w:after="40" w:line="276" w:lineRule="auto"/>
            </w:pPr>
          </w:p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สถานะที่ถูกต้องขึ้นอยู่กับสถาปัตยกรรมจริงและการตัดสินใจเกี่ยวกับข้อมูล (ใครเป็นคนสั่งให้เก็บ/ลบ/ใช้ข้อมูลอะไร)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— จุดนี้ 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ต้องให้ทนายวิเคราะห์ร่วมกับเจ้าของระบบก่อนเผยแพร่นโยบายจริง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เพราะกระทบทั้งข้อความในนโยบายนี้และอาจกระทบว่าต้องมีสัญญาประมวลผลข้อมูล (Data Processing Agreement) ระหว่างแพลตฟอร์มกับร้านค้าแยกต่างหากหรือไม่ (ดูสัญญา B2B ที่ยังไม่ได้จัดทำ)</w:t>
            </w:r>
          </w:p>
        </w:tc>
      </w:tr>
    </w:tbl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7. ระยะเวลาการเก็บข้อมูล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FFBEB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left w:val="single" w:sz="24" w:space="0" w:color="F59E0B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🟠 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ข้อสังเกตจากนักบัญชี (นำมาแก้ไขแล้วในรอบนี้):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PDPA ไม่ได้กำหนดตัวเลขปีตายตัว ตัวเลขด้านล่างอิงจากกฎหมายอื่นที่บังคับ (บัญชี/ภาษี) — แต่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ไม่ควรเขียนเหมารวมว่า "ข้อมูลการเงินทั้งหมด = 5 ปีเพราะกฎหมายบัญชี"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ต้องแยกให้ชัดระหว่าง 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เอกสารประกอบการลงบัญชี/ภาษี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กับ 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ข้อมูลเชิงปฏิบัติการ (Operational Data)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ที่ไม่ใช่เอกสารบัญชี เพราะเหตุผลทางกฎหมายในการเก็บต่างกัน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E3A8A"/>
              <w:bottom w:val="single" w:sz="4" w:space="0" w:color="0F172A"/>
              <w:left w:val="single" w:sz="4" w:space="0" w:color="2563EB"/>
              <w:right w:val="single" w:sz="4" w:space="0" w:color="2563EB"/>
            </w:tcBorders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TH Sarabun PSK" w:hAnsi="TH Sarabun PSK"/>
                <w:b/>
                <w:i w:val="0"/>
                <w:color w:val="FFFFFF"/>
                <w:sz w:val="26"/>
                <w:rFonts w:ascii="TH Sarabun PSK" w:hAnsi="TH Sarabun PSK" w:cs="TH Sarabun PSK" w:eastAsia="TH Sarabun PSK"/>
              </w:rPr>
              <w:t>ประเภทข้อมูล</w:t>
            </w:r>
          </w:p>
        </w:tc>
        <w:tc>
          <w:tcPr>
            <w:tcW w:type="dxa" w:w="301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E3A8A"/>
              <w:bottom w:val="single" w:sz="4" w:space="0" w:color="0F172A"/>
              <w:left w:val="single" w:sz="4" w:space="0" w:color="2563EB"/>
              <w:right w:val="single" w:sz="4" w:space="0" w:color="2563EB"/>
            </w:tcBorders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TH Sarabun PSK" w:hAnsi="TH Sarabun PSK"/>
                <w:b/>
                <w:i w:val="0"/>
                <w:color w:val="FFFFFF"/>
                <w:sz w:val="26"/>
                <w:rFonts w:ascii="TH Sarabun PSK" w:hAnsi="TH Sarabun PSK" w:cs="TH Sarabun PSK" w:eastAsia="TH Sarabun PSK"/>
              </w:rPr>
              <w:t>ระยะเวลาเก็บ</w:t>
            </w:r>
          </w:p>
        </w:tc>
        <w:tc>
          <w:tcPr>
            <w:tcW w:type="dxa" w:w="301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1E3A8A"/>
              <w:bottom w:val="single" w:sz="4" w:space="0" w:color="0F172A"/>
              <w:left w:val="single" w:sz="4" w:space="0" w:color="2563EB"/>
              <w:right w:val="single" w:sz="4" w:space="0" w:color="2563EB"/>
            </w:tcBorders>
          </w:tcPr>
          <w:p>
            <w:pPr>
              <w:spacing w:before="40" w:after="40" w:line="276" w:lineRule="auto"/>
            </w:pPr>
            <w:r>
              <w:rPr>
                <w:b/>
              </w:rPr>
            </w:r>
            <w:r>
              <w:rPr>
                <w:rFonts w:ascii="TH Sarabun PSK" w:hAnsi="TH Sarabun PSK"/>
                <w:b/>
                <w:i w:val="0"/>
                <w:color w:val="FFFFFF"/>
                <w:sz w:val="26"/>
                <w:rFonts w:ascii="TH Sarabun PSK" w:hAnsi="TH Sarabun PSK" w:cs="TH Sarabun PSK" w:eastAsia="TH Sarabun PSK"/>
              </w:rPr>
              <w:t>เหตุผล</w:t>
            </w:r>
          </w:p>
        </w:tc>
      </w:tr>
      <w:tr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เอกสารประกอบการลงบัญชี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 (คำสั่งซื้อที่ชำระเงินสำเร็จ, สลิปการชำระเงิน, รายงานยอดขาย)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อย่างน้อย 5 ปี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 นับแต่วันปิดบัญชี — กรมสรรพากรอาจสั่งให้เก็บเกิน 5 ปีแต่ไม่เกิน 7 ปีได้ในบางกรณี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พ.ร.บ.การบัญชี พ.ศ. 2543 กำหนดให้เก็บบัญชีและเอกสารประกอบการลงบัญชีไม่น้อยกว่า 5 ปีนับแต่วันปิดบัญชี</w:t>
            </w:r>
          </w:p>
        </w:tc>
      </w:tr>
      <w:tr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ใบกำกับภาษี/เอกสาร VAT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 </w:t>
            </w:r>
            <w:r>
              <w:rPr>
                <w:rFonts w:ascii="Calibri" w:hAnsi="Calibri"/>
                <w:b/>
                <w:i w:val="0"/>
                <w:color w:val="B45309"/>
                <w:sz w:val="23"/>
                <w:rFonts w:ascii="Calibri" w:hAnsi="Calibri" w:cs="Calibri" w:eastAsia="Calibri"/>
              </w:rPr>
              <w:t>[เฉพาะกรณีร้านจดทะเบียนภาษีมูลค่าเพิ่ม]</w:t>
            </w:r>
          </w:p>
        </w:tc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อย่างน้อย 5 ปี อาจถึง 7 ปี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 ตามประกาศอธิบดีกรมสรรพากร</w:t>
            </w:r>
          </w:p>
        </w:tc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ประมวลรัษฎากรกำหนดให้ผู้ประกอบการจด VAT เก็บใบกำกับภาษีและเอกสารประกอบ — </w:t>
            </w:r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ใช้เฉพาะเมื่อร้านอยู่ในระบบ VAT เท่านั้น `[ต้องกรอก/ตรวจสอบสถานะ VAT ของร้าน]`</w:t>
            </w:r>
          </w:p>
        </w:tc>
      </w:tr>
      <w:tr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ข้อมูลคำสั่งซื้อ/ตะกร้าที่ไม่สำเร็จ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 (ยกเลิกก่อนชำระเงิน — ไม่ใช่เอกสารบัญชี)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90 วัน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 </w:t>
            </w:r>
            <w:r>
              <w:rPr>
                <w:rFonts w:ascii="Calibri" w:hAnsi="Calibri"/>
                <w:b/>
                <w:i w:val="0"/>
                <w:color w:val="B45309"/>
                <w:sz w:val="23"/>
                <w:rFonts w:ascii="Calibri" w:hAnsi="Calibri" w:cs="Calibri" w:eastAsia="Calibri"/>
              </w:rPr>
              <w:t>[นโยบายที่กำหนดขึ้นเอง — ต้องมีเหตุผลรองรับชัดเจนก่อนเผยแพร่ เช่น ระยะเวลาที่สมเหตุสมผลสำหรับการแก้ปัญหา/ข้อร้องเรียนระยะสั้น]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ไม่มีกฎหมายบังคับให้เก็บ ใช้หลัก PDPA เก็บเท่าที่จำเป็นต่อวัตถุประสงค์เดิมเท่านั้น</w:t>
            </w:r>
          </w:p>
        </w:tc>
      </w:tr>
      <w:tr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ข้อมูลดิบจากคอมเมนต์ Facebook ที่ไม่ได้กลายเป็นออเดอร์สำเร็จ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 (Operational Data)</w:t>
            </w:r>
          </w:p>
        </w:tc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90 วัน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 </w:t>
            </w:r>
            <w:r>
              <w:rPr>
                <w:rFonts w:ascii="Calibri" w:hAnsi="Calibri"/>
                <w:b/>
                <w:i w:val="0"/>
                <w:color w:val="B45309"/>
                <w:sz w:val="23"/>
                <w:rFonts w:ascii="Calibri" w:hAnsi="Calibri" w:cs="Calibri" w:eastAsia="Calibri"/>
              </w:rPr>
              <w:t>[เหตุผลรองรับเดียวกับข้างต้น — ดูข้อ 5]</w:t>
            </w:r>
          </w:p>
        </w:tc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เช่นเดียวกับข้างต้น</w:t>
            </w:r>
          </w:p>
        </w:tc>
      </w:tr>
      <w:tr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Log การเข้าถึงข้อมูล/ความปลอดภัย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 (เช่น การเข้าหน้าแอดมิน, Superadmin)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อย่างน้อย 1 ปี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เพื่อใช้ตรวจสอบย้อนหลังหากเกิดข้อพิพาทหรือเหตุข้อมูลรั่วไหล (ครอบคลุมอายุความละเมิดขั้นต่ำ 1 ปีนับแต่รู้)</w:t>
            </w:r>
          </w:p>
        </w:tc>
      </w:tr>
      <w:tr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/>
                <w:i w:val="0"/>
                <w:color w:val="1B365D"/>
                <w:sz w:val="25"/>
                <w:rFonts w:ascii="TH Sarabun PSK" w:hAnsi="TH Sarabun PSK" w:cs="TH Sarabun PSK" w:eastAsia="TH Sarabun PSK"/>
              </w:rPr>
              <w:t>ข้อมูลบัญชีร้านค้า/พนักงาน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 xml:space="preserve"> (Operational, ไม่รวมเอกสารบัญชีค่าบริการ)</w:t>
            </w:r>
          </w:p>
        </w:tc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ระหว่างยังใช้บริการอยู่ + 1 ปีหลังเลิกใช้บริการ</w:t>
            </w:r>
          </w:p>
        </w:tc>
        <w:tc>
          <w:tcPr>
            <w:tcW w:type="dxa" w:w="301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CBD5E1"/>
              <w:left w:val="single" w:sz="4" w:space="0" w:color="F1F5F9"/>
              <w:right w:val="single" w:sz="4" w:space="0" w:color="F1F5F9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TH Sarabun PSK" w:hAnsi="TH Sarabun PSK"/>
                <w:b w:val="0"/>
                <w:i w:val="0"/>
                <w:color w:val="334155"/>
                <w:sz w:val="25"/>
                <w:rFonts w:ascii="TH Sarabun PSK" w:hAnsi="TH Sarabun PSK" w:cs="TH Sarabun PSK" w:eastAsia="TH Sarabun PSK"/>
              </w:rPr>
              <w:t>ตามอายุสัญญาการใช้บริการ — ส่วนที่เป็นเอกสารบัญชี (เช่น ใบแจ้งหนี้ค่าบริการ) ให้ใช้แถวแรกของตารางนี้แทน</w:t>
            </w:r>
          </w:p>
        </w:tc>
      </w:tr>
    </w:tbl>
    <w:p>
      <w:pPr>
        <w:spacing w:before="40" w:after="80"/>
      </w:pP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หากท่านต้องการให้ลบข้อมูลก่อนครบกำหนดเวลาข้างต้น (ในกรณีที่ไม่มีข้อบังคับทางกฎหมายอื่นให้ต้องเก็บต่อ) สามารถใช้สิทธิตามข้อ 8 ได้</w:t>
      </w: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8. สิทธิของเจ้าของข้อมูล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FFBEB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left w:val="single" w:sz="24" w:space="0" w:color="F59E0B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🟠 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ข้อสังเกตจากทนาย (แก้ไขแล้วในรอบนี้):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รายการสิทธิเดิมยังไม่ครบตามที่ PDPA กำหนด — เพิ่มสิทธิขอระงับการใช้ข้อมูลและสิทธิโอนย้ายข้อมูลแล้ว</w:t>
            </w:r>
          </w:p>
        </w:tc>
      </w:tr>
    </w:tbl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ท่านมีสิทธิตามกฎหมายคุ้มครองข้อมูลส่วนบุคคล ดังนี้: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สิทธิขอเข้าถึงและขอสำเนาข้อมูลส่วนบุคคล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ของท่าน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สิทธิขอให้แก้ไขข้อมูล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ที่ไม่ถูกต้องหรือไม่ครบถ้วน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สิทธิขอให้ลบหรือทำลายข้อมูล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(เมื่อพ้นความจำเป็นในการเก็บ หรือเมื่อถอนความยินยอม)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สิทธิขอให้ระงับการใช้ข้อมูล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— เช่น ระหว่างที่กำลังตรวจสอบความถูกต้องของข้อมูลตามคำขอแก้ไข ท่านสามารถขอให้ระงับการนำข้อมูลไปใช้ชั่วคราวได้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สิทธิถอนความยินยอม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(สำหรับข้อมูลที่เก็บโดยอาศัยความยินยอม เช่น GPS) — การถอนความยินยอมไม่กระทบความชอบด้วยกฎหมายของการประมวลผลที่ทำไปแล้วก่อนถอน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สิทธิคัดค้านการประมวลผลข้อมูล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ที่อาศัยฐานประโยชน์โดยชอบด้วยกฎหมาย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สิทธิในการโอนย้ายข้อมูล (Data Portability)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— เฉพาะข้อมูลที่ประมวลผลโดยอาศัยความยินยอมหรือสัญญา และเป็นการประมวลผลด้วยวิธีการอัตโนมัติ ท่านมีสิทธิขอรับข้อมูลในรูปแบบที่อ่านได้ด้วยเครื่อง หรือขอให้ส่งต่อไปยังผู้ควบคุมข้อมูลรายอื่น (หากทำได้ทางเทคนิค)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สิทธิร้องเรียน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ต่อสำนักงานคณะกรรมการคุ้มครองข้อมูลส่วนบุคคล (สคส./PDPC) หากเห็นว่าเราไม่ปฏิบัติตามกฎหมาย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หากท่านต้องการใช้สิทธิข้างต้น สามารถติดต่อได้ที่ [ช่องทางติดต่อ — ต้องกรอก]</w:t>
      </w: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9. ความปลอดภัยของข้อมูล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เรามีมาตรการป้องกันข้อมูลของท่าน เช่น การเข้ารหัสข้อมูลสำคัญ (เช่น กุญแจ API สำหรับตรวจสอบการชำระเงิน) และการจำกัดสิทธิ์การเข้าถึงข้อมูลเฉพาะผู้ที่จำเป็นต้องใช้งาน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8FAFC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left w:val="single" w:sz="24" w:space="0" w:color="3B82F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🟡 </w:t>
            </w:r>
            <w:r>
              <w:rPr>
                <w:rFonts w:ascii="Calibri" w:hAnsi="Calibri"/>
                <w:b/>
                <w:i w:val="0"/>
                <w:color w:val="B45309"/>
                <w:sz w:val="24"/>
                <w:rFonts w:ascii="Calibri" w:hAnsi="Calibri" w:cs="Calibri" w:eastAsia="Calibri"/>
              </w:rPr>
              <w:t>[หมายเหตุภายใน — ไม่ต้องแสดงต่อสาธารณะ]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ข้อความในข้อนี้ต้องตรงกับสถานะจริงของระบบเสมอ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ก่อนเผยแพร่นโยบายข้อนี้ต่อสาธารณะ ต้องตรวจสอบให้แน่ใจว่าไม่มีช่องโหว่ที่ทำให้คำกล่าวนี้ไม่เป็นความจริง (อ้างอิงรายงานผลตรวจสอบความปลอดภัยที่จัดทำแยกต่างหาก) — 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ห้ามเผยแพร่ข้อความนี้ต่อสาธารณะจนกว่าจะยืนยันแล้วว่าการจำกัดสิทธิ์การเข้าถึงข้อมูลทำงานถูกต้องจริงตามที่ระบุ</w:t>
            </w:r>
          </w:p>
        </w:tc>
      </w:tr>
    </w:tbl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10. การเปลี่ยนแปลงนโยบาย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เราอาจปรับปรุงนโยบายนี้เป็นครั้งคราว โดยจะแจ้งวันที่ปรับปรุงล่าสุดไว้ด้านบนของเอกสาร</w:t>
      </w: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11. ช่องทางติดต่อ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หากมีข้อสงสัยเกี่ยวกับนโยบายความเป็นส่วนตัวนี้ ติดต่อได้ที่: [ต้องกรอก]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PSK" w:hAnsi="TH Sarabun PSK"/>
        <w:b w:val="0"/>
        <w:i/>
        <w:color w:val="64748B"/>
        <w:sz w:val="19"/>
        <w:rFonts w:ascii="TH Sarabun PSK" w:hAnsi="TH Sarabun PSK" w:cs="TH Sarabun PSK" w:eastAsia="TH Sarabun PSK"/>
      </w:rPr>
      <w:t>เอกสารฉบับร่าง — ต้องผ่านการตรวจสอบโดยที่ปรึกษากฎหมายก่อนนำไปใช้งานจริง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PSK" w:hAnsi="TH Sarabun PSK"/>
        <w:b w:val="0"/>
        <w:i/>
        <w:color w:val="64748B"/>
        <w:sz w:val="20"/>
        <w:rFonts w:ascii="TH Sarabun PSK" w:hAnsi="TH Sarabun PSK" w:cs="TH Sarabun PSK" w:eastAsia="TH Sarabun PSK"/>
      </w:rPr>
      <w:t>RAN-R-HAN | เอกสารทางกฎหมายและนโยบายความเป็นส่วนตัว (DRAFT)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