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72D6" w14:textId="77777777" w:rsidR="00293E42" w:rsidRDefault="00293E42" w:rsidP="00293E42">
      <w:pPr>
        <w:rPr>
          <w:lang w:val="en-US"/>
        </w:rPr>
      </w:pPr>
      <w:r>
        <w:rPr>
          <w:lang w:val="en-US"/>
        </w:rPr>
        <w:t>Phuong Nguyen</w:t>
      </w:r>
    </w:p>
    <w:p w14:paraId="3706F014" w14:textId="1E00B286" w:rsidR="00293E42" w:rsidRPr="00293E42" w:rsidRDefault="00293E42" w:rsidP="00293E42">
      <w:pPr>
        <w:rPr>
          <w:lang w:val="en-US"/>
        </w:rPr>
      </w:pPr>
      <w:r>
        <w:rPr>
          <w:lang w:val="en-US"/>
        </w:rPr>
        <w:t xml:space="preserve">Professor </w:t>
      </w:r>
      <w:r w:rsidRPr="00293E42">
        <w:t>Curt Childress</w:t>
      </w:r>
    </w:p>
    <w:p w14:paraId="2034FCAB" w14:textId="6CAD7082" w:rsidR="00293E42" w:rsidRPr="00293E42" w:rsidRDefault="00293E42" w:rsidP="00293E42">
      <w:r>
        <w:rPr>
          <w:lang w:val="en-US"/>
        </w:rPr>
        <w:t>GOVT-2305-14</w:t>
      </w:r>
    </w:p>
    <w:p w14:paraId="3ED97735" w14:textId="3E93B5AF" w:rsidR="00293E42" w:rsidRDefault="00293E42">
      <w:pPr>
        <w:rPr>
          <w:lang w:val="en-US"/>
        </w:rPr>
      </w:pPr>
      <w:r>
        <w:rPr>
          <w:lang w:val="en-US"/>
        </w:rPr>
        <w:t>24 November 2025</w:t>
      </w:r>
    </w:p>
    <w:p w14:paraId="7EAF38B2" w14:textId="14EE2C18" w:rsidR="00293E42" w:rsidRDefault="00293E42" w:rsidP="00293E42">
      <w:pPr>
        <w:jc w:val="center"/>
        <w:rPr>
          <w:lang w:val="en-US"/>
        </w:rPr>
      </w:pPr>
      <w:r w:rsidRPr="00293E42">
        <w:rPr>
          <w:lang w:val="en-US"/>
        </w:rPr>
        <w:t>Unit 1 Diagnostic Quiz</w:t>
      </w:r>
    </w:p>
    <w:p w14:paraId="3EE924C7" w14:textId="00081A8A" w:rsidR="00B9760A" w:rsidRPr="00885D84" w:rsidRDefault="00B9760A" w:rsidP="00885D84">
      <w:pPr>
        <w:pStyle w:val="ListParagraph"/>
        <w:numPr>
          <w:ilvl w:val="0"/>
          <w:numId w:val="8"/>
        </w:numPr>
        <w:rPr>
          <w:lang w:val="en-US"/>
        </w:rPr>
      </w:pPr>
      <w:r w:rsidRPr="00B9760A">
        <w:t>Th</w:t>
      </w:r>
      <w:r w:rsidR="0084642A" w:rsidRPr="00885D84">
        <w:rPr>
          <w:lang w:val="en-US"/>
        </w:rPr>
        <w:t>e Harold Lasswell’ s idea of politics, “</w:t>
      </w:r>
      <w:r w:rsidR="0084642A" w:rsidRPr="00B9760A">
        <w:t>Who Gets What, When, and How</w:t>
      </w:r>
      <w:r w:rsidR="0084642A" w:rsidRPr="00885D84">
        <w:rPr>
          <w:lang w:val="en-US"/>
        </w:rPr>
        <w:t xml:space="preserve">”, </w:t>
      </w:r>
      <w:r w:rsidRPr="00B9760A">
        <w:t xml:space="preserve"> is not a good</w:t>
      </w:r>
      <w:r w:rsidR="0084642A" w:rsidRPr="00885D84">
        <w:rPr>
          <w:lang w:val="en-US"/>
        </w:rPr>
        <w:t xml:space="preserve"> definition</w:t>
      </w:r>
      <w:r w:rsidRPr="00B9760A">
        <w:t xml:space="preserve"> because it led to more competition in the U.S. politics, where the state was corporatized, and interest groups became more power in making law and policy. For example, British also applied this type of policy to Indian, and as a consequence, Indian suffered serious famines as their foods were deliveried to the center England (Zahid).</w:t>
      </w:r>
    </w:p>
    <w:p w14:paraId="05799DF0" w14:textId="509525E4" w:rsidR="00B9760A" w:rsidRPr="00B9760A" w:rsidRDefault="00B9760A" w:rsidP="00885D84">
      <w:pPr>
        <w:pStyle w:val="ListParagraph"/>
        <w:numPr>
          <w:ilvl w:val="0"/>
          <w:numId w:val="8"/>
        </w:numPr>
      </w:pPr>
      <w:r w:rsidRPr="00B9760A">
        <w:t>The classical liberalism refers that the core problem of politics is to protect individual liberty</w:t>
      </w:r>
      <w:r w:rsidR="0084642A" w:rsidRPr="00885D84">
        <w:rPr>
          <w:lang w:val="en-US"/>
        </w:rPr>
        <w:t xml:space="preserve"> (“Classical”)</w:t>
      </w:r>
      <w:r w:rsidRPr="00B9760A">
        <w:t>. John Locke argued that the social contract had to secure individuals’ natural rights, including their private property rights</w:t>
      </w:r>
      <w:r w:rsidR="0084642A" w:rsidRPr="00885D84">
        <w:rPr>
          <w:lang w:val="en-US"/>
        </w:rPr>
        <w:t xml:space="preserve"> (“Social”)</w:t>
      </w:r>
      <w:r w:rsidRPr="00B9760A">
        <w:t>.</w:t>
      </w:r>
    </w:p>
    <w:p w14:paraId="1C9897A1" w14:textId="15307E7A" w:rsidR="00B9760A" w:rsidRPr="00B9760A" w:rsidRDefault="00CC38C1" w:rsidP="00885D84">
      <w:pPr>
        <w:pStyle w:val="ListParagraph"/>
        <w:numPr>
          <w:ilvl w:val="0"/>
          <w:numId w:val="8"/>
        </w:numPr>
      </w:pPr>
      <w:r w:rsidRPr="00CC38C1">
        <w:t>The Articles of Confederation is the first constitution of the United States, but it caused a weak government without essential powers like the powers to control foreign policy and tax. We can see it as a foundation for creating new Constitution. According to the U.S. Constitution, the government is divided into three branches including the executive, legislative, and judicial, and it also has more powers over money and taxes.</w:t>
      </w:r>
    </w:p>
    <w:p w14:paraId="25AEFAD6" w14:textId="0DD54466" w:rsidR="00293E42" w:rsidRPr="00885D84" w:rsidRDefault="00293E42" w:rsidP="00885D84">
      <w:pPr>
        <w:pStyle w:val="ListParagraph"/>
        <w:numPr>
          <w:ilvl w:val="0"/>
          <w:numId w:val="9"/>
        </w:numPr>
        <w:rPr>
          <w:lang w:val="en-US"/>
        </w:rPr>
      </w:pPr>
      <w:r w:rsidRPr="00293E42">
        <w:t>There are three compromises regarding slavery in the U.S Constitution. In the Article I, Three-Fifths Compromise proposed that the total number of slaves would be counted as three-fifths of the number of free people in a state, while Slave Trade Compromise limited but still permitted slave trade for the next 20 years. In the Article IV, Fugitive Slave Clause required return fugitive slaves to their old owners.</w:t>
      </w:r>
    </w:p>
    <w:p w14:paraId="26EF3055" w14:textId="46930719" w:rsidR="00293E42" w:rsidRPr="00885D84" w:rsidRDefault="00885D84" w:rsidP="00885D84">
      <w:pPr>
        <w:pStyle w:val="ListParagraph"/>
        <w:numPr>
          <w:ilvl w:val="0"/>
          <w:numId w:val="10"/>
        </w:numPr>
        <w:rPr>
          <w:lang w:val="en-US"/>
        </w:rPr>
      </w:pPr>
      <w:r>
        <w:rPr>
          <w:lang w:val="en-US"/>
        </w:rPr>
        <w:lastRenderedPageBreak/>
        <w:t>The writing of James Madision in Federalist #51, “</w:t>
      </w:r>
      <w:r w:rsidRPr="00885D84">
        <w:rPr>
          <w:i/>
          <w:iCs/>
        </w:rPr>
        <w:t>In republican government, the legislative authority necessarily predominates</w:t>
      </w:r>
      <w:r>
        <w:rPr>
          <w:lang w:val="en-US"/>
        </w:rPr>
        <w:t>”,</w:t>
      </w:r>
      <w:r w:rsidR="00C741F4" w:rsidRPr="00C741F4">
        <w:t xml:space="preserve"> is not really true nowadays because after the World War II, the executive branch tended to predominates as the Congress grant presidents more power (</w:t>
      </w:r>
      <w:r>
        <w:rPr>
          <w:lang w:val="en-US"/>
        </w:rPr>
        <w:t>“</w:t>
      </w:r>
      <w:r w:rsidR="00C741F4" w:rsidRPr="00C741F4">
        <w:t>Separation”) to make war. However, there is also a balance in the power of three branches</w:t>
      </w:r>
      <w:r w:rsidR="00C741F4" w:rsidRPr="00885D84">
        <w:rPr>
          <w:lang w:val="en-US"/>
        </w:rPr>
        <w:t xml:space="preserve"> to limited the power of each other</w:t>
      </w:r>
      <w:r w:rsidR="00C741F4" w:rsidRPr="00C741F4">
        <w:t>.</w:t>
      </w:r>
    </w:p>
    <w:p w14:paraId="1C43F25B" w14:textId="7195DB34" w:rsidR="00293E42" w:rsidRPr="00885D84" w:rsidRDefault="00885D84" w:rsidP="00885D84">
      <w:pPr>
        <w:pStyle w:val="ListParagraph"/>
        <w:numPr>
          <w:ilvl w:val="0"/>
          <w:numId w:val="10"/>
        </w:numPr>
      </w:pPr>
      <w:r>
        <w:rPr>
          <w:lang w:val="en-US"/>
        </w:rPr>
        <w:t xml:space="preserve">This is one example about applying Lemon Test. </w:t>
      </w:r>
      <w:r w:rsidRPr="00885D84">
        <w:t>The legislature of Southernstate enacted a bill that a copy of the Ten Commandments had to displayed on the walls of classrooms of every public school in the state. The state will not use any public money for this requirement, because all posters will be provided by private donations. In addition, each poster would include the text: "The secular application of the Ten Commandments is clearly seen in its adoption as the fundamental legal code of Western Civilization and the Common Law of the United States.” (</w:t>
      </w:r>
      <w:r w:rsidRPr="00885D84">
        <w:rPr>
          <w:lang w:val="en-US"/>
        </w:rPr>
        <w:t>“</w:t>
      </w:r>
      <w:r w:rsidRPr="00885D84">
        <w:t>Freedom”). But this text cannot pass the first part of Lemon Test, so that it was considered to violate the Establishment Clause.</w:t>
      </w:r>
    </w:p>
    <w:p w14:paraId="75B5579C" w14:textId="37BD19B8" w:rsidR="00293E42" w:rsidRPr="00885D84" w:rsidRDefault="00293E42" w:rsidP="00885D84">
      <w:pPr>
        <w:pStyle w:val="ListParagraph"/>
        <w:numPr>
          <w:ilvl w:val="0"/>
          <w:numId w:val="10"/>
        </w:numPr>
        <w:rPr>
          <w:lang w:val="en-US"/>
        </w:rPr>
      </w:pPr>
      <w:r w:rsidRPr="00293E42">
        <w:t>The “Separate but Equal” doctrine, started from the decision of the Court in Plessy v. Ferguson (1896), permitted states and local governments to use racial segregation laws , which caused many legal and social harms to African Americans. But this doctrine was removed in Brown v. Board of Education (1954) because of scientific evidence such as UNESCO</w:t>
      </w:r>
      <w:r w:rsidR="00BF2665" w:rsidRPr="00885D84">
        <w:rPr>
          <w:lang w:val="en-US"/>
        </w:rPr>
        <w:t>’</w:t>
      </w:r>
      <w:r w:rsidRPr="00293E42">
        <w:t>s 1950 Statement (</w:t>
      </w:r>
      <w:r w:rsidR="00BF2665" w:rsidRPr="00885D84">
        <w:rPr>
          <w:lang w:val="en-US"/>
        </w:rPr>
        <w:t>“</w:t>
      </w:r>
      <w:r w:rsidRPr="00293E42">
        <w:t>Separate”). The research showed that the legal segregation could slow children's educational and mental development and deprive children of their legitimate rights. As a result, “the Court said, “separate is not equal,” and segregation violated the Equal Protection Clause of the Fourteenth Amendment” (</w:t>
      </w:r>
      <w:r w:rsidR="00885D84">
        <w:rPr>
          <w:lang w:val="en-US"/>
        </w:rPr>
        <w:t>“</w:t>
      </w:r>
      <w:r w:rsidRPr="00293E42">
        <w:t>Separate”).</w:t>
      </w:r>
    </w:p>
    <w:p w14:paraId="13D12B2F" w14:textId="06AB2456" w:rsidR="00BF2665" w:rsidRDefault="00BF2665">
      <w:pPr>
        <w:rPr>
          <w:lang w:val="en-US"/>
        </w:rPr>
      </w:pPr>
    </w:p>
    <w:p w14:paraId="2C72AFCC" w14:textId="77777777" w:rsidR="00885D84" w:rsidRDefault="00885D84">
      <w:pPr>
        <w:rPr>
          <w:lang w:val="en-US"/>
        </w:rPr>
      </w:pPr>
      <w:r>
        <w:rPr>
          <w:lang w:val="en-US"/>
        </w:rPr>
        <w:br w:type="page"/>
      </w:r>
    </w:p>
    <w:p w14:paraId="7036BEFF" w14:textId="482772FA" w:rsidR="00BF2665" w:rsidRDefault="00C741F4" w:rsidP="00C741F4">
      <w:pPr>
        <w:jc w:val="center"/>
        <w:rPr>
          <w:lang w:val="en-US"/>
        </w:rPr>
      </w:pPr>
      <w:r>
        <w:rPr>
          <w:lang w:val="en-US"/>
        </w:rPr>
        <w:lastRenderedPageBreak/>
        <w:t>W</w:t>
      </w:r>
      <w:r w:rsidR="00BF2665">
        <w:rPr>
          <w:lang w:val="en-US"/>
        </w:rPr>
        <w:t>orks Cite</w:t>
      </w:r>
      <w:r>
        <w:rPr>
          <w:lang w:val="en-US"/>
        </w:rPr>
        <w:t>d</w:t>
      </w:r>
    </w:p>
    <w:p w14:paraId="52FF1910" w14:textId="091561A9" w:rsidR="00B9760A" w:rsidRDefault="00B9760A" w:rsidP="00C741F4">
      <w:pPr>
        <w:ind w:left="720" w:hanging="720"/>
        <w:rPr>
          <w:lang w:val="en-US"/>
        </w:rPr>
      </w:pPr>
      <w:r>
        <w:rPr>
          <w:lang w:val="en-US"/>
        </w:rPr>
        <w:t>“</w:t>
      </w:r>
      <w:r w:rsidRPr="00B9760A">
        <w:t>Classical Liberalism | Definition, Origins, Policies, Neoclassical Liberalism, &amp; Fact</w:t>
      </w:r>
      <w:r>
        <w:rPr>
          <w:lang w:val="en-US"/>
        </w:rPr>
        <w:t xml:space="preserve">”, </w:t>
      </w:r>
      <w:r w:rsidRPr="00B9760A">
        <w:rPr>
          <w:i/>
          <w:iCs/>
        </w:rPr>
        <w:t>Britannica</w:t>
      </w:r>
      <w:r w:rsidRPr="00B9760A">
        <w:t>,</w:t>
      </w:r>
      <w:r>
        <w:rPr>
          <w:lang w:val="en-US"/>
        </w:rPr>
        <w:t xml:space="preserve"> 18 Oct. 2025,</w:t>
      </w:r>
      <w:r w:rsidRPr="00B9760A">
        <w:t xml:space="preserve"> www.britannica.com/topic/classical-liberalism. Accessed 26 Nov. 2025. </w:t>
      </w:r>
    </w:p>
    <w:p w14:paraId="0AECE66C" w14:textId="1CD00717" w:rsidR="00885D84" w:rsidRPr="00885D84" w:rsidRDefault="00885D84" w:rsidP="00885D84">
      <w:pPr>
        <w:ind w:left="720" w:hanging="720"/>
        <w:rPr>
          <w:lang w:val="en-US"/>
        </w:rPr>
      </w:pPr>
      <w:r w:rsidRPr="00885D84">
        <w:t xml:space="preserve">“Freedom of Religion and the Establishment Clause.” </w:t>
      </w:r>
      <w:r w:rsidRPr="00885D84">
        <w:rPr>
          <w:i/>
          <w:iCs/>
        </w:rPr>
        <w:t>Lawshelf Educational Media</w:t>
      </w:r>
      <w:r w:rsidRPr="00885D84">
        <w:t xml:space="preserve">, www.lawshelf.com/coursewarecontentview/freedom-of-religion-and-the-establishment-clause. Accessed 26 Nov. 2025. </w:t>
      </w:r>
    </w:p>
    <w:p w14:paraId="6C7E5D96" w14:textId="1450576E" w:rsidR="00BF2665" w:rsidRDefault="00BF2665" w:rsidP="00C741F4">
      <w:pPr>
        <w:ind w:left="720" w:hanging="720"/>
        <w:rPr>
          <w:lang w:val="en-US"/>
        </w:rPr>
      </w:pPr>
      <w:r w:rsidRPr="00BF2665">
        <w:t xml:space="preserve">“Separate but Equal.” </w:t>
      </w:r>
      <w:r w:rsidRPr="00BF2665">
        <w:rPr>
          <w:i/>
          <w:iCs/>
        </w:rPr>
        <w:t>LII / Legal Information Institute</w:t>
      </w:r>
      <w:r w:rsidRPr="00BF2665">
        <w:t xml:space="preserve">, </w:t>
      </w:r>
      <w:r w:rsidR="00C741F4" w:rsidRPr="00BF2665">
        <w:t>www.law.cornell.edu/wex/separate_but_equal</w:t>
      </w:r>
      <w:r w:rsidRPr="00BF2665">
        <w:t>.</w:t>
      </w:r>
      <w:r w:rsidR="00C741F4" w:rsidRPr="00C741F4">
        <w:t xml:space="preserve"> </w:t>
      </w:r>
      <w:r w:rsidR="00C741F4" w:rsidRPr="00B9760A">
        <w:t xml:space="preserve">Accessed 26 Nov. 2025. </w:t>
      </w:r>
      <w:r w:rsidR="00C741F4" w:rsidRPr="00C741F4">
        <w:t xml:space="preserve"> </w:t>
      </w:r>
    </w:p>
    <w:p w14:paraId="2A4FEFF8" w14:textId="5A29F745" w:rsidR="00C741F4" w:rsidRPr="00885D84" w:rsidRDefault="00C741F4" w:rsidP="00C741F4">
      <w:pPr>
        <w:ind w:left="720" w:hanging="720"/>
      </w:pPr>
      <w:r>
        <w:rPr>
          <w:lang w:val="en-US"/>
        </w:rPr>
        <w:t>“</w:t>
      </w:r>
      <w:r w:rsidRPr="00C741F4">
        <w:t>Separation of Powe</w:t>
      </w:r>
      <w:r>
        <w:rPr>
          <w:lang w:val="en-US"/>
        </w:rPr>
        <w:t>r”</w:t>
      </w:r>
      <w:r>
        <w:rPr>
          <w:i/>
          <w:iCs/>
          <w:lang w:val="en-US"/>
        </w:rPr>
        <w:t>,</w:t>
      </w:r>
      <w:r w:rsidRPr="00C741F4">
        <w:rPr>
          <w:i/>
          <w:iCs/>
        </w:rPr>
        <w:t xml:space="preserve"> U.S. Vote Foundation</w:t>
      </w:r>
      <w:r w:rsidRPr="00C741F4">
        <w:t xml:space="preserve">. www.usvotefoundation.org/what-powers-are-granted-president-us-constitution. </w:t>
      </w:r>
      <w:r w:rsidRPr="00B9760A">
        <w:t xml:space="preserve">Accessed 26 Nov. 2025. </w:t>
      </w:r>
    </w:p>
    <w:p w14:paraId="0F15E35C" w14:textId="77206F6C" w:rsidR="00B9760A" w:rsidRPr="00C741F4" w:rsidRDefault="00B9760A" w:rsidP="00C741F4">
      <w:pPr>
        <w:ind w:left="720" w:hanging="720"/>
      </w:pPr>
      <w:r w:rsidRPr="00C741F4">
        <w:t>“</w:t>
      </w:r>
      <w:r w:rsidRPr="00B9760A">
        <w:t>Social Contract | Definition, Examples, Hobbes, Locke, &amp; Rousseau</w:t>
      </w:r>
      <w:r w:rsidRPr="00C741F4">
        <w:t>”</w:t>
      </w:r>
      <w:r w:rsidRPr="00B9760A">
        <w:t xml:space="preserve">, </w:t>
      </w:r>
      <w:r w:rsidRPr="00B9760A">
        <w:rPr>
          <w:i/>
          <w:iCs/>
        </w:rPr>
        <w:t>Britannica</w:t>
      </w:r>
      <w:r w:rsidRPr="00B9760A">
        <w:t xml:space="preserve">, 24 Nov. 2025, www.britannica.com/topic/social-contract. </w:t>
      </w:r>
      <w:r w:rsidR="00C741F4" w:rsidRPr="00B9760A">
        <w:t xml:space="preserve">Accessed 26 Nov. 2025. </w:t>
      </w:r>
    </w:p>
    <w:p w14:paraId="2B5380E5" w14:textId="16860424" w:rsidR="00293E42" w:rsidRPr="00293E42" w:rsidRDefault="00BF2665" w:rsidP="00C741F4">
      <w:pPr>
        <w:ind w:left="720" w:hanging="720"/>
        <w:rPr>
          <w:lang w:val="en-US"/>
        </w:rPr>
      </w:pPr>
      <w:r w:rsidRPr="00BF2665">
        <w:t xml:space="preserve">Zahid, Muhammad. “‘Who Gets What, When and How.’” </w:t>
      </w:r>
      <w:r w:rsidRPr="00BF2665">
        <w:rPr>
          <w:i/>
          <w:iCs/>
        </w:rPr>
        <w:t>The Nation</w:t>
      </w:r>
      <w:r w:rsidRPr="00BF2665">
        <w:t>, 14 Feb. 2015, www.nation.com.pk/14-Feb-2015/who-gets-what-when-and-how.</w:t>
      </w:r>
      <w:r w:rsidR="00C741F4">
        <w:rPr>
          <w:lang w:val="en-US"/>
        </w:rPr>
        <w:t xml:space="preserve"> </w:t>
      </w:r>
      <w:r w:rsidR="00C741F4" w:rsidRPr="00B9760A">
        <w:t xml:space="preserve">Accessed 26 Nov. 2025. </w:t>
      </w:r>
    </w:p>
    <w:p w14:paraId="5A839949" w14:textId="77777777" w:rsidR="00293E42" w:rsidRPr="00293E42" w:rsidRDefault="00293E42" w:rsidP="00293E42"/>
    <w:sectPr w:rsidR="00293E42" w:rsidRPr="00293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DB6"/>
    <w:multiLevelType w:val="multilevel"/>
    <w:tmpl w:val="F8044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1412A"/>
    <w:multiLevelType w:val="hybridMultilevel"/>
    <w:tmpl w:val="A014CE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0EF3A9C"/>
    <w:multiLevelType w:val="multilevel"/>
    <w:tmpl w:val="52923C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5539C"/>
    <w:multiLevelType w:val="multilevel"/>
    <w:tmpl w:val="9AB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45363"/>
    <w:multiLevelType w:val="multilevel"/>
    <w:tmpl w:val="6CA8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97686"/>
    <w:multiLevelType w:val="hybridMultilevel"/>
    <w:tmpl w:val="58787E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CBA1719"/>
    <w:multiLevelType w:val="multilevel"/>
    <w:tmpl w:val="935CC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A5EBA"/>
    <w:multiLevelType w:val="hybridMultilevel"/>
    <w:tmpl w:val="1BE44358"/>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668670EC"/>
    <w:multiLevelType w:val="multilevel"/>
    <w:tmpl w:val="992826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32131"/>
    <w:multiLevelType w:val="multilevel"/>
    <w:tmpl w:val="E57434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646407">
    <w:abstractNumId w:val="3"/>
  </w:num>
  <w:num w:numId="2" w16cid:durableId="1648239608">
    <w:abstractNumId w:val="5"/>
  </w:num>
  <w:num w:numId="3" w16cid:durableId="1966236251">
    <w:abstractNumId w:val="6"/>
  </w:num>
  <w:num w:numId="4" w16cid:durableId="253515466">
    <w:abstractNumId w:val="7"/>
  </w:num>
  <w:num w:numId="5" w16cid:durableId="212087033">
    <w:abstractNumId w:val="2"/>
  </w:num>
  <w:num w:numId="6" w16cid:durableId="691225267">
    <w:abstractNumId w:val="8"/>
  </w:num>
  <w:num w:numId="7" w16cid:durableId="1146317943">
    <w:abstractNumId w:val="4"/>
  </w:num>
  <w:num w:numId="8" w16cid:durableId="362096033">
    <w:abstractNumId w:val="1"/>
  </w:num>
  <w:num w:numId="9" w16cid:durableId="1896505030">
    <w:abstractNumId w:val="0"/>
  </w:num>
  <w:num w:numId="10" w16cid:durableId="1919946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42"/>
    <w:rsid w:val="000A280F"/>
    <w:rsid w:val="00170F23"/>
    <w:rsid w:val="00293E42"/>
    <w:rsid w:val="002D10C1"/>
    <w:rsid w:val="003C2A79"/>
    <w:rsid w:val="004F507C"/>
    <w:rsid w:val="00612F4C"/>
    <w:rsid w:val="00762CA5"/>
    <w:rsid w:val="00806E43"/>
    <w:rsid w:val="0084642A"/>
    <w:rsid w:val="00885D84"/>
    <w:rsid w:val="00A91C4F"/>
    <w:rsid w:val="00B9760A"/>
    <w:rsid w:val="00BF2665"/>
    <w:rsid w:val="00C741F4"/>
    <w:rsid w:val="00CC38C1"/>
    <w:rsid w:val="00E65A09"/>
    <w:rsid w:val="00EA45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C0B49"/>
  <w15:chartTrackingRefBased/>
  <w15:docId w15:val="{84F6C7BA-8711-4880-B49D-F35B9D9F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1F4"/>
  </w:style>
  <w:style w:type="paragraph" w:styleId="Heading1">
    <w:name w:val="heading 1"/>
    <w:basedOn w:val="Normal"/>
    <w:next w:val="Normal"/>
    <w:link w:val="Heading1Char"/>
    <w:uiPriority w:val="9"/>
    <w:qFormat/>
    <w:rsid w:val="00293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E4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E4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3E4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3E4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3E4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3E4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3E4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E4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E4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3E4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3E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3E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3E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3E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E4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E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3E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3E42"/>
    <w:rPr>
      <w:i/>
      <w:iCs/>
      <w:color w:val="404040" w:themeColor="text1" w:themeTint="BF"/>
    </w:rPr>
  </w:style>
  <w:style w:type="paragraph" w:styleId="ListParagraph">
    <w:name w:val="List Paragraph"/>
    <w:basedOn w:val="Normal"/>
    <w:uiPriority w:val="34"/>
    <w:qFormat/>
    <w:rsid w:val="00293E42"/>
    <w:pPr>
      <w:ind w:left="720"/>
      <w:contextualSpacing/>
    </w:pPr>
  </w:style>
  <w:style w:type="character" w:styleId="IntenseEmphasis">
    <w:name w:val="Intense Emphasis"/>
    <w:basedOn w:val="DefaultParagraphFont"/>
    <w:uiPriority w:val="21"/>
    <w:qFormat/>
    <w:rsid w:val="00293E42"/>
    <w:rPr>
      <w:i/>
      <w:iCs/>
      <w:color w:val="2F5496" w:themeColor="accent1" w:themeShade="BF"/>
    </w:rPr>
  </w:style>
  <w:style w:type="paragraph" w:styleId="IntenseQuote">
    <w:name w:val="Intense Quote"/>
    <w:basedOn w:val="Normal"/>
    <w:next w:val="Normal"/>
    <w:link w:val="IntenseQuoteChar"/>
    <w:uiPriority w:val="30"/>
    <w:qFormat/>
    <w:rsid w:val="00293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E42"/>
    <w:rPr>
      <w:i/>
      <w:iCs/>
      <w:color w:val="2F5496" w:themeColor="accent1" w:themeShade="BF"/>
    </w:rPr>
  </w:style>
  <w:style w:type="character" w:styleId="IntenseReference">
    <w:name w:val="Intense Reference"/>
    <w:basedOn w:val="DefaultParagraphFont"/>
    <w:uiPriority w:val="32"/>
    <w:qFormat/>
    <w:rsid w:val="00293E42"/>
    <w:rPr>
      <w:b/>
      <w:bCs/>
      <w:smallCaps/>
      <w:color w:val="2F5496" w:themeColor="accent1" w:themeShade="BF"/>
      <w:spacing w:val="5"/>
    </w:rPr>
  </w:style>
  <w:style w:type="paragraph" w:styleId="NormalWeb">
    <w:name w:val="Normal (Web)"/>
    <w:basedOn w:val="Normal"/>
    <w:uiPriority w:val="99"/>
    <w:semiHidden/>
    <w:unhideWhenUsed/>
    <w:rsid w:val="00293E42"/>
    <w:rPr>
      <w:rFonts w:cs="Times New Roman"/>
    </w:rPr>
  </w:style>
  <w:style w:type="character" w:styleId="Hyperlink">
    <w:name w:val="Hyperlink"/>
    <w:basedOn w:val="DefaultParagraphFont"/>
    <w:uiPriority w:val="99"/>
    <w:unhideWhenUsed/>
    <w:rsid w:val="00C741F4"/>
    <w:rPr>
      <w:color w:val="0563C1" w:themeColor="hyperlink"/>
      <w:u w:val="single"/>
    </w:rPr>
  </w:style>
  <w:style w:type="character" w:styleId="UnresolvedMention">
    <w:name w:val="Unresolved Mention"/>
    <w:basedOn w:val="DefaultParagraphFont"/>
    <w:uiPriority w:val="99"/>
    <w:semiHidden/>
    <w:unhideWhenUsed/>
    <w:rsid w:val="00C74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662</Words>
  <Characters>3731</Characters>
  <Application>Microsoft Office Word</Application>
  <DocSecurity>0</DocSecurity>
  <Lines>69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cp:revision>
  <dcterms:created xsi:type="dcterms:W3CDTF">2025-11-25T05:32:00Z</dcterms:created>
  <dcterms:modified xsi:type="dcterms:W3CDTF">2025-11-27T01:37:00Z</dcterms:modified>
</cp:coreProperties>
</file>