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LANRE FOLARIN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CBAP | Senior Business Analyst | Healthcare &amp; Regulated Environments | Agile Delivery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oofolarin@gmail.com | (647) 461-0119 | linkedin.com/in/lanrefolarin | lanrefolarin.github.io</w:t>
      </w:r>
    </w:p>
    <w:p>
      <w:pPr>
        <w:pBdr>
          <w:bottom w:val="single" w:color="888888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CBAP-certified Senior Business Analyst with 9+ years in Business Analysis serving as the primary liaison between business stakeholders and IT delivery teams across regulated, public sector, and industrial environments. Deep expertise in end-to-end requirements management, functional specification authorship, UAT leadership, compliance analysis, and agile delivery. Proven record of translating complex business problems into traceable, well-documented requirements that accelerate development cycles and reduce post-release defects. Experienced with Azure DevOps, Jira, Visio, and Microsoft Office Suite. Brings structured analytical discipline, cross-functional stakeholder facilitation, and a strong process improvement mindset to every engagement.</w:t>
      </w:r>
    </w:p>
    <w:p>
      <w:pPr>
        <w:pBdr>
          <w:bottom w:val="single" w:color="888888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Core Competencies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Requirements Elicitation &amp; Analysis | Functional Specifications &amp; Use Cases | BRD / FRD / RTM | User Stories &amp; Acceptance Criteria | Process Mapping (As-Is / To-Be) | UAT Planning &amp; Execution | Defect Triage &amp; Release Readiness | Compliance &amp; Audit Support | Azure DevOps | Jira / Confluence | Power BI | SQL Data Profiling | Agile / Scrum / Kanban | Stakeholder Workshops &amp; Governance | Change Impact Assessment | Visio / Lucidchart / Miro</w:t>
      </w:r>
    </w:p>
    <w:p>
      <w:pPr>
        <w:pBdr>
          <w:bottom w:val="single" w:color="888888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Business Analyst</w:t>
      </w:r>
      <w:r>
        <w:rPr>
          <w:rFonts w:ascii="Calibri" w:cs="Calibri" w:eastAsia="Calibri" w:hAnsi="Calibri"/>
          <w:sz w:val="22"/>
          <w:szCs w:val="22"/>
        </w:rPr>
        <w:t xml:space="preserve"> | Ministry of Health, Ontario Public Service</w:t>
      </w:r>
      <w:r>
        <w:rPr>
          <w:rFonts w:ascii="Calibri" w:cs="Calibri" w:eastAsia="Calibri" w:hAnsi="Calibri"/>
          <w:sz w:val="22"/>
          <w:szCs w:val="22"/>
        </w:rPr>
        <w:t xml:space="preserve">	Dec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 as primary liaison between business program owners and IT delivery teams for Transfer Payment (TP) forecasting workflows, translating complex financial and program rules into 40+ prioritized epics, user stories, and acceptance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Gather, document, and prioritize business requirements through structured discovery workshops with 10+ cross-functional stakeholders; produced process flows, use cases, and functional specifications that eliminated 3 manual handoff steps in approval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Designed and deployed a Power BI reporting suite tracking SLA compliance, aging, and cycle time for TP packages, providing leadership with real-time operational visibility and reducing manual reporting effort by approximately 3 hours per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Developed ERP data validation rules and exception-handling logic for reporting datasets, reducing data errors and downstream rework by approximately 25% within 60 days of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UAT planning, test execution, defect triage, and stakeholder sign-off across all delivery milestones, maintaining full end-to-end traceability from discovery through release readiness.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 compliance and audit-related activities by documenting data lineage, approval workflows, and control checkpoints aligned to government reporting standards.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Architect</w:t>
      </w:r>
      <w:r>
        <w:rPr>
          <w:rFonts w:ascii="Calibri" w:cs="Calibri" w:eastAsia="Calibri" w:hAnsi="Calibri"/>
          <w:sz w:val="22"/>
          <w:szCs w:val="22"/>
        </w:rPr>
        <w:t xml:space="preserve"> | Schneider Electric</w:t>
      </w:r>
      <w:r>
        <w:rPr>
          <w:rFonts w:ascii="Calibri" w:cs="Calibri" w:eastAsia="Calibri" w:hAnsi="Calibri"/>
          <w:sz w:val="22"/>
          <w:szCs w:val="22"/>
        </w:rPr>
        <w:t xml:space="preserve">	May 2025 – Nov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cross-functional discovery across 6 business units to document end-to-end processes, data handoffs, and system pain points; produced process maps and a prioritized requirements backlog that accelerated solution design planning by 3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Authored epics and user stories with structured acceptance criteria; coordinated prioritization and dependency mapping with Product and IT leads across 3 concurrent workstreams.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change impact assessments across 4 business units, defining role-based training plans and communications that prepared 200+ users for adoption ahead of each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Maintained RAID log, decision registry, and governance reporting for a 15+ stakeholder program, reducing decision latency and preventing scope creep throughout the engagement.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Business System Analyst</w:t>
      </w:r>
      <w:r>
        <w:rPr>
          <w:rFonts w:ascii="Calibri" w:cs="Calibri" w:eastAsia="Calibri" w:hAnsi="Calibri"/>
          <w:sz w:val="22"/>
          <w:szCs w:val="22"/>
        </w:rPr>
        <w:t xml:space="preserve"> | Combined Metal Industries</w:t>
      </w:r>
      <w:r>
        <w:rPr>
          <w:rFonts w:ascii="Calibri" w:cs="Calibri" w:eastAsia="Calibri" w:hAnsi="Calibri"/>
          <w:sz w:val="22"/>
          <w:szCs w:val="22"/>
        </w:rPr>
        <w:t xml:space="preserve">	Nov 2022 – Dec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requirements discovery with Finance, Engineering, and Operations stakeholders to define functional and non-functional requirements for an asset recovery and contractor billing platform, translating a $2M+ reconciliation challenge into a structured, traceable requirements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Authored process models, use cases, system specifications, and acceptance criteria; maintained end-to-end RTM from discovery through UAT, enabling zero-defect releases across 2 major delivery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Established a structured UAT process including test planning, defect triage, and stakeholder sign-off gates, reducing post-release production issues by 35% compared to prior delivery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Delivered Power BI reporting improvements that automated cost-tracking workflows, reducing manual reconciliation effort by 40% and improving contractor billing accuracy within the first quarter of deployment.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ERP Business Analyst</w:t>
      </w:r>
      <w:r>
        <w:rPr>
          <w:rFonts w:ascii="Calibri" w:cs="Calibri" w:eastAsia="Calibri" w:hAnsi="Calibri"/>
          <w:sz w:val="22"/>
          <w:szCs w:val="22"/>
        </w:rPr>
        <w:t xml:space="preserve"> | Combined Metal Industries</w:t>
      </w:r>
      <w:r>
        <w:rPr>
          <w:rFonts w:ascii="Calibri" w:cs="Calibri" w:eastAsia="Calibri" w:hAnsi="Calibri"/>
          <w:sz w:val="22"/>
          <w:szCs w:val="22"/>
        </w:rPr>
        <w:t xml:space="preserve">	Jan 2021 – Oct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Produced BRDs and RTMs for 5 ERP workflow and BI dashboard enhancements, reducing mid-sprint rework by 30% by aligning analytics specifications directly to defined business outcomes before development commenced.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Drove Agile delivery in Azure DevOps, leading backlog refinement, sprint planning, and velocity tracking for an 8-person squad, achieving 90%+ sprint completion rate across 12 consecutive sprints.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Power BI dashboards for logistics KPIs that surfaced scheduling inefficiencies and contributed to $150,000+ in annualised cost savings through data-driven routing and capacity adjustments.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Analyst</w:t>
      </w:r>
      <w:r>
        <w:rPr>
          <w:rFonts w:ascii="Calibri" w:cs="Calibri" w:eastAsia="Calibri" w:hAnsi="Calibri"/>
          <w:sz w:val="22"/>
          <w:szCs w:val="22"/>
        </w:rPr>
        <w:t xml:space="preserve"> | DB Schenker</w:t>
      </w:r>
      <w:r>
        <w:rPr>
          <w:rFonts w:ascii="Calibri" w:cs="Calibri" w:eastAsia="Calibri" w:hAnsi="Calibri"/>
          <w:sz w:val="22"/>
          <w:szCs w:val="22"/>
        </w:rPr>
        <w:t xml:space="preserve">	Apr 2019 – Dec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Owned UAT strategy and acceptance criteria alignment for 24 Power BI dashboards delivered to Finance, IT, and Operations, achieving zero critical defects at go-live across all releases over an 18-month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Managed product enhancement backlog for a BI and analytics platform; performed SQL data profiling across 5M+ records to validate accuracy and completeness, ensuring reporting integrity for executive decision-making.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Identified order fulfilment process improvements through analytics and stakeholder workshops, contributing to a 15% improvement in on-time shipment performance over two quarters.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Analyst</w:t>
      </w:r>
      <w:r>
        <w:rPr>
          <w:rFonts w:ascii="Calibri" w:cs="Calibri" w:eastAsia="Calibri" w:hAnsi="Calibri"/>
          <w:sz w:val="22"/>
          <w:szCs w:val="22"/>
        </w:rPr>
        <w:t xml:space="preserve"> | Mother Parker’s Tea &amp; Coffee</w:t>
      </w:r>
      <w:r>
        <w:rPr>
          <w:rFonts w:ascii="Calibri" w:cs="Calibri" w:eastAsia="Calibri" w:hAnsi="Calibri"/>
          <w:sz w:val="22"/>
          <w:szCs w:val="22"/>
        </w:rPr>
        <w:t xml:space="preserve">	Aug 2017 – Mar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Delivered internal automation tools that reduced order entry errors by 30% and improved demand forecasting accuracy across 3 operational departments.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Facilitated stakeholder pain-point workshops, converting findings into a phased delivery backlog that shipped 4 releases on schedule with measurable adoption across 50+ end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Coordinated UAT and deployment for 6 system enhancements with no post-release rollbacks and full user adoption within 30 days of each release.</w:t>
      </w:r>
    </w:p>
    <w:p>
      <w:pPr>
        <w:pBdr>
          <w:bottom w:val="single" w:color="888888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Certifications &amp; Education</w:t>
      </w:r>
    </w:p>
    <w:p>
      <w:pPr>
        <w:tabs>
          <w:tab w:val="right" w:pos="9026"/>
        </w:tabs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Certified Business Analysis Professional (CBAP)</w:t>
      </w:r>
      <w:r>
        <w:rPr>
          <w:rFonts w:ascii="Calibri" w:cs="Calibri" w:eastAsia="Calibri" w:hAnsi="Calibri"/>
          <w:sz w:val="22"/>
          <w:szCs w:val="22"/>
        </w:rPr>
        <w:t xml:space="preserve">  IIBA</w:t>
      </w:r>
      <w:r>
        <w:rPr>
          <w:rFonts w:ascii="Calibri" w:cs="Calibri" w:eastAsia="Calibri" w:hAnsi="Calibri"/>
          <w:sz w:val="22"/>
          <w:szCs w:val="22"/>
        </w:rPr>
        <w:t xml:space="preserve">	2022</w:t>
      </w:r>
    </w:p>
    <w:p>
      <w:pPr>
        <w:tabs>
          <w:tab w:val="right" w:pos="9026"/>
        </w:tabs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Management Certification</w:t>
      </w:r>
      <w:r>
        <w:rPr>
          <w:rFonts w:ascii="Calibri" w:cs="Calibri" w:eastAsia="Calibri" w:hAnsi="Calibri"/>
          <w:sz w:val="22"/>
          <w:szCs w:val="22"/>
        </w:rPr>
        <w:t xml:space="preserve">  Product School</w:t>
      </w:r>
      <w:r>
        <w:rPr>
          <w:rFonts w:ascii="Calibri" w:cs="Calibri" w:eastAsia="Calibri" w:hAnsi="Calibri"/>
          <w:sz w:val="22"/>
          <w:szCs w:val="22"/>
        </w:rPr>
        <w:t xml:space="preserve">	2023</w:t>
      </w:r>
    </w:p>
    <w:p>
      <w:pPr>
        <w:tabs>
          <w:tab w:val="right" w:pos="9026"/>
        </w:tabs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Business Administration, Human Resource Management</w:t>
      </w:r>
      <w:r>
        <w:rPr>
          <w:rFonts w:ascii="Calibri" w:cs="Calibri" w:eastAsia="Calibri" w:hAnsi="Calibri"/>
          <w:sz w:val="22"/>
          <w:szCs w:val="22"/>
        </w:rPr>
        <w:t xml:space="preserve">  Sheridan College</w:t>
      </w:r>
      <w:r>
        <w:rPr>
          <w:rFonts w:ascii="Calibri" w:cs="Calibri" w:eastAsia="Calibri" w:hAnsi="Calibri"/>
          <w:sz w:val="22"/>
          <w:szCs w:val="22"/>
        </w:rPr>
        <w:t xml:space="preserve">	2019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2026-05-27T11:08:10.165Z</dcterms:created>
  <dcterms:modified xsi:type="dcterms:W3CDTF">2026-05-27T11:08:10.165Z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