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480"/>
        <w:jc w:val="center"/>
      </w:pPr>
      <w:r>
        <w:rPr>
          <w:rFonts w:ascii="Arial" w:cs="Arial" w:eastAsia="Arial" w:hAnsi="Arial"/>
          <w:b/>
          <w:bCs/>
          <w:color w:val="1F3864"/>
          <w:sz w:val="32"/>
          <w:szCs w:val="32"/>
        </w:rPr>
        <w:t xml:space="preserve">FloodSight: An Integrated Real-Time Urban Flood Early Warning System for Lagos, Nigeria Combining Multi-Factor GIS Susceptibility Modelling, Dynamic Wave Hydraulic Simulation, and SMS Alert Delivery</w:t>
      </w:r>
    </w:p>
    <w:p>
      <w:pPr>
        <w:spacing w:after="80"/>
        <w:jc w:val="center"/>
      </w:pPr>
      <w:r>
        <w:rPr>
          <w:rFonts w:ascii="Arial" w:cs="Arial" w:eastAsia="Arial" w:hAnsi="Arial"/>
          <w:b/>
          <w:bCs/>
          <w:sz w:val="24"/>
          <w:szCs w:val="24"/>
        </w:rPr>
        <w:t xml:space="preserve">Habeeb A. Adegoke</w:t>
      </w:r>
    </w:p>
    <w:p>
      <w:pPr>
        <w:spacing w:after="80"/>
        <w:jc w:val="center"/>
      </w:pPr>
      <w:r>
        <w:rPr>
          <w:rFonts w:ascii="Times New Roman" w:cs="Times New Roman" w:eastAsia="Times New Roman" w:hAnsi="Times New Roman"/>
          <w:i/>
          <w:iCs/>
          <w:sz w:val="22"/>
          <w:szCs w:val="22"/>
        </w:rPr>
        <w:t xml:space="preserve">School of Sustainable Engineering and the Built Environment, Arizona State University, Tempe, AZ, USA</w:t>
      </w:r>
    </w:p>
    <w:p>
      <w:pPr>
        <w:spacing w:after="320"/>
        <w:jc w:val="center"/>
      </w:pPr>
      <w:r>
        <w:rPr>
          <w:rFonts w:ascii="Times New Roman" w:cs="Times New Roman" w:eastAsia="Times New Roman" w:hAnsi="Times New Roman"/>
          <w:sz w:val="22"/>
          <w:szCs w:val="22"/>
        </w:rPr>
        <w:t xml:space="preserve">Correspondence: ahadegok@asu.edu</w:t>
      </w:r>
    </w:p>
    <w:p>
      <w:pPr>
        <w:spacing w:after="80"/>
        <w:jc w:val="center"/>
      </w:pPr>
      <w:r>
        <w:rPr>
          <w:rFonts w:ascii="Times New Roman" w:cs="Times New Roman" w:eastAsia="Times New Roman" w:hAnsi="Times New Roman"/>
          <w:i/>
          <w:iCs/>
          <w:color w:val="666666"/>
          <w:sz w:val="22"/>
          <w:szCs w:val="22"/>
        </w:rPr>
        <w:t xml:space="preserve">Target Journal: Natural Hazards and Earth System Sciences (NHESS), EGU — Q1</w:t>
      </w:r>
    </w:p>
    <w:p>
      <w:pPr>
        <w:spacing w:after="480"/>
        <w:jc w:val="center"/>
      </w:pPr>
      <w:r>
        <w:rPr>
          <w:rFonts w:ascii="Times New Roman" w:cs="Times New Roman" w:eastAsia="Times New Roman" w:hAnsi="Times New Roman"/>
          <w:color w:val="888888"/>
          <w:sz w:val="22"/>
          <w:szCs w:val="22"/>
        </w:rPr>
        <w:t xml:space="preserve">Received: [submission date] | Revised: [revision date] | Accepted: [acceptance date]</w:t>
      </w:r>
    </w:p>
    <w:p>
      <w:pPr>
        <w:pBdr>
          <w:bottom w:val="single" w:color="1F3864" w:sz="6" w:space="4"/>
        </w:pBdr>
        <w:spacing w:after="120" w:before="240"/>
      </w:pPr>
      <w:r>
        <w:rPr>
          <w:rFonts w:ascii="Arial" w:cs="Arial" w:eastAsia="Arial" w:hAnsi="Arial"/>
          <w:b/>
          <w:bCs/>
          <w:color w:val="1F3864"/>
          <w:sz w:val="26"/>
          <w:szCs w:val="26"/>
        </w:rPr>
        <w:t xml:space="preserve">Abstract</w:t>
      </w:r>
    </w:p>
    <w:p>
      <w:pPr>
        <w:spacing w:after="160" w:line="360"/>
        <w:jc w:val="both"/>
      </w:pPr>
      <w:r>
        <w:rPr>
          <w:rFonts w:ascii="Times New Roman" w:cs="Times New Roman" w:eastAsia="Times New Roman" w:hAnsi="Times New Roman"/>
          <w:sz w:val="24"/>
          <w:szCs w:val="24"/>
        </w:rPr>
        <w:t xml:space="preserve">Rapid urbanisation in sub-Saharan Africa has outpaced drainage infrastructure investment, rendering megacities such as Lagos, Nigeria chronically vulnerable to flash flooding. Existing early warning systems in the region are either resource-intensive numerical weather-prediction tools operated by national agencies or coarse-resolution global flood products with latencies incompatible with community-scale response. We present FloodSight, an open-source, low-cost flood early warning system designed for Lagos that integrates a GIS-derived multi-factor flood susceptibility model, a live numerical weather forecast stream, hydraulic drainage network simulation, and a real-time SMS alert delivery platform. The susceptibility model combines six terrain and land-cover variables — elevation, Height Above Nearest Drainage (HAND), flow accumulation, slope, land-cover class, and population density — into a dimensionless flood score at 200-m resolution across 15 flood-prone local government areas (LGAs), yielding 24,933 scored grid cells. Alert thresholds are calibrated against historical Open-Meteo ERA5 archive rainfall for eight documented Lagos flood events spanning 2011–2023. FloodSight correctly flagged four of eight events (50% accuracy), issuing Watch-level or Warning-level alerts for four events involving direct heavy-rainfall flooding, while missing three events driven primarily by upstream dam releases and one event with rain totals below threshold — structural limitations of purely rainfall-driven alert systems that are discussed in context. Hydraulic validation using EPA SWMM 5.2 for the Kosofe LGA pilot (2,285 junctions; 3,019 conduits; 600-mm circular concrete pipes; Manning's n = 0.013) under a 150-mm four-hour design storm produced 98.9% flooding by volume (1,877 of 1,898 ha-m of wet-weather inflow), with 1,185 of 2,285 junctions experiencing overflow. Spatial cross-validation confirmed that junctions in Very High susceptibility grid cells flood at 71.9% compared to approximately 49% in all other classes (chi-squared = 87.98, dof = 3, p &lt; 0.001), and that mean peak overflow rate scales monotonically from 1.19 m3/s in Low-class cells to 3.46 m3/s in Very High-class cells (Kruskal-Wallis H = 10.56, p = 0.014), a 2.9-fold ratio demonstrating statistically significant concordance between the heuristic susceptibility score and physically-simulated hydraulic behaviour. FloodSight's modular, API-first architecture supports community-scale deployment in data-sparse African cities. All source code, processed datasets, and SWMM input files are openly released under the MIT licence.</w:t>
      </w:r>
    </w:p>
    <w:p>
      <w:pPr>
        <w:spacing w:after="80"/>
      </w:pPr>
      <w:r>
        <w:t xml:space="preserve"/>
      </w:r>
    </w:p>
    <w:p>
      <w:pPr>
        <w:spacing w:after="24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urban flood early warning; Lagos, Nigeria; SWMM 5.2; GIS susceptibility; HAND model; SMS alert; sub-Saharan Africa; Green-Ampt infiltration; dynamic wave routing</w:t>
      </w:r>
    </w:p>
    <w:p>
      <w:pPr>
        <w:pStyle w:val="Heading1"/>
        <w:spacing w:after="160" w:before="320"/>
      </w:pPr>
      <w:r>
        <w:rPr>
          <w:rFonts w:ascii="Arial" w:cs="Arial" w:eastAsia="Arial" w:hAnsi="Arial"/>
          <w:b/>
          <w:bCs/>
          <w:color w:val="1F3864"/>
          <w:sz w:val="28"/>
          <w:szCs w:val="28"/>
        </w:rPr>
        <w:t xml:space="preserve">1. Introduction</w:t>
      </w:r>
    </w:p>
    <w:p>
      <w:pPr>
        <w:spacing w:after="160" w:line="360"/>
        <w:jc w:val="both"/>
      </w:pPr>
      <w:r>
        <w:rPr>
          <w:rFonts w:ascii="Times New Roman" w:cs="Times New Roman" w:eastAsia="Times New Roman" w:hAnsi="Times New Roman"/>
          <w:sz w:val="24"/>
          <w:szCs w:val="24"/>
        </w:rPr>
        <w:t xml:space="preserve">Flooding is the most frequent and economically damaging natural hazard worldwide, responsible for approximately 40% of all natural disaster events and an estimated USD 651 billion in economic losses between 2000 and 2019 (UNDRR, 2020). In sub-Saharan Africa, where rapid and often unplanned urbanisation has concentrated millions of people in low-lying, flood-prone areas with inadequate drainage infrastructure, the burden of urban flooding is disproportionately high and rising (Jha et al., 2012; Rentschler et al., 2022). Lagos, Nigeria — the continent's most populous city with an estimated 15.9 million residents in the metropolitan area (World Bank, 2023) — is among the most flood-exposed cities on Earth. Its low-lying coastal topography, perennially overwhelmed combined sewer overflows, high impervious surface fraction, and intensifying West African monsoon rainfall together create annual flooding episodes that displace tens of thousands of residents, destroy livelihoods, and impose significant mortality risk (Adelekan and Asiyanbi, 2016; Abiodun et al., 2018).</w:t>
      </w:r>
    </w:p>
    <w:p>
      <w:pPr>
        <w:spacing w:after="160" w:line="360"/>
        <w:jc w:val="both"/>
      </w:pPr>
      <w:r>
        <w:rPr>
          <w:rFonts w:ascii="Times New Roman" w:cs="Times New Roman" w:eastAsia="Times New Roman" w:hAnsi="Times New Roman"/>
          <w:sz w:val="24"/>
          <w:szCs w:val="24"/>
        </w:rPr>
        <w:t xml:space="preserve">The physical drivers of Lagos flooding are well-documented. Hallegatte et al. (2013) identified Lagos as one of the top ten cities globally by projected future flood losses, with annual losses projected to reach USD 3.1 billion by 2050 under climate change and continued coastal development. Dottori et al. (2018) and Alfieri et al. (2017) project that West African cities will experience a significant increase in flood frequency and magnitude under Representative Concentration Pathway (RCP) 8.5 scenarios. Yet despite this well-established risk profile, real-time flood early warning capability in Lagos and across most of sub-Saharan Africa remains extremely limited. The Nigerian Meteorological Agency (NiMet) issues seasonal and synoptic-scale warnings, but these lack the spatial resolution and lead time needed for community-scale preparedness. Global products such as the Global Flood Awareness System (GloFAS; Pappenberger et al., 2015) or the ECMWF ensemble flood forecast operate at resolutions of 1–10 km and are calibrated to river flood dynamics rather than the fast-response urban drainage failures that characterise Lagos flooding.</w:t>
      </w:r>
    </w:p>
    <w:p>
      <w:pPr>
        <w:spacing w:after="160" w:line="360"/>
        <w:jc w:val="both"/>
      </w:pPr>
      <w:r>
        <w:rPr>
          <w:rFonts w:ascii="Times New Roman" w:cs="Times New Roman" w:eastAsia="Times New Roman" w:hAnsi="Times New Roman"/>
          <w:sz w:val="24"/>
          <w:szCs w:val="24"/>
        </w:rPr>
        <w:t xml:space="preserve">The academic literature on urban flood early warning systems (EWSs) has advanced substantially in recent years (Hapuarachchi et al., 2011; Doswell et al., 1996), but implementations remain concentrated in high-income countries with dense rain-gauge networks, high-resolution LiDAR topography, and calibrated hydraulic models. In data-sparse low- and middle-income country (LMIC) cities, EWS development is constrained by limited observed streamflow records, coarse digital elevation models (DEMs), absent or incomplete drainage maps, and the high computational cost of physically-based hydrodynamic simulation (Tehrany et al., 2019; Samson et al., 2015). These constraints motivate an approach that combines lightweight GIS-based susceptibility mapping — which requires only freely available global datasets — with targeted hydraulic simulation for pilot areas and real-time rainfall ingestion from open numerical weather prediction (NWP) products.</w:t>
      </w:r>
    </w:p>
    <w:p>
      <w:pPr>
        <w:spacing w:after="160" w:line="360"/>
        <w:jc w:val="both"/>
      </w:pPr>
      <w:r>
        <w:rPr>
          <w:rFonts w:ascii="Times New Roman" w:cs="Times New Roman" w:eastAsia="Times New Roman" w:hAnsi="Times New Roman"/>
          <w:sz w:val="24"/>
          <w:szCs w:val="24"/>
        </w:rPr>
        <w:t xml:space="preserve">Several studies have demonstrated the value of GIS multi-criteria analysis for flood susceptibility mapping in Nigerian cities (Ogato et al., 2020; Zhu et al., 2019). However, these studies typically produce static susceptibility maps that are not linked to real-time rainfall data or alert dissemination mechanisms, limiting their operational utility. On the hydraulic modelling side, Meesuk et al. (2015) and Vojinovic and Abbott (2012) demonstrated that the EPA Storm Water Management Model (SWMM; Rossman, 2015) provides computationally efficient urban drainage network simulation suitable for fast-turnaround scenario analysis in data-sparse environments. The integration of susceptibility mapping, real-time NWP rainfall, and operational alert delivery in a single open-source system represents a research gap that FloodSight is designed to address.</w:t>
      </w:r>
    </w:p>
    <w:p>
      <w:pPr>
        <w:spacing w:after="160" w:line="360"/>
        <w:jc w:val="both"/>
      </w:pPr>
      <w:r>
        <w:rPr>
          <w:rFonts w:ascii="Times New Roman" w:cs="Times New Roman" w:eastAsia="Times New Roman" w:hAnsi="Times New Roman"/>
          <w:sz w:val="24"/>
          <w:szCs w:val="24"/>
        </w:rPr>
        <w:t xml:space="preserve">This paper makes four principal contributions. First, we present FloodSight's end-to-end system architecture — from raw geospatial data ingestion through susceptibility scoring, alert engine, hydraulic simulation, and community SMS alert delivery — as a reproducible, openly-licensed framework replicable in other LMIC megacities. Second, we demonstrate a lagos-calibrated multi-factor susceptibility model using six globally-available input datasets at 200-m resolution across 15 LGAs. Third, we present SWMM 5.2 hydraulic simulation results for the Kosofe pilot catchment under a 150-mm / 4-hour extreme design storm and quantify the distribution of flooded nodes by severity class. Fourth, we provide multi-level statistical validation: historical event-level alert accuracy and a novel spatial cross-validation that quantifies the concordance between the heuristic susceptibility score and SWMM-simulated hydraulic overflow behaviour.</w:t>
      </w:r>
    </w:p>
    <w:p>
      <w:pPr>
        <w:pStyle w:val="Heading1"/>
        <w:spacing w:after="160" w:before="320"/>
      </w:pPr>
      <w:r>
        <w:rPr>
          <w:rFonts w:ascii="Arial" w:cs="Arial" w:eastAsia="Arial" w:hAnsi="Arial"/>
          <w:b/>
          <w:bCs/>
          <w:color w:val="1F3864"/>
          <w:sz w:val="28"/>
          <w:szCs w:val="28"/>
        </w:rPr>
        <w:t xml:space="preserve">2. Study Area</w:t>
      </w:r>
    </w:p>
    <w:p>
      <w:pPr>
        <w:spacing w:after="160" w:line="360"/>
        <w:jc w:val="both"/>
      </w:pPr>
      <w:r>
        <w:rPr>
          <w:rFonts w:ascii="Times New Roman" w:cs="Times New Roman" w:eastAsia="Times New Roman" w:hAnsi="Times New Roman"/>
          <w:sz w:val="24"/>
          <w:szCs w:val="24"/>
        </w:rPr>
        <w:t xml:space="preserve">Lagos State occupies the southwestern corner of Nigeria at approximately 6.3–6.8°N latitude and 3.0–3.8°E longitude, covering a land area of approximately 3,577 km² along the Gulf of Guinea (Fig. 1). The city is built predominantly on a coastal barrier-lagoon system characterised by extremely flat terrain: the vast majority of the urbanised land mass lies within 3–15 m of mean sea level, and large areas are underlain by reclaimed tidal swamp. Natural drainage is dominated by the Lagos Lagoon and its tributary creeks, but urban development has culverted or encroached upon most natural channels, leaving artificial drainage systems — often undersized, poorly maintained, and frequently blocked by solid waste — as the primary flood control mechanism.</w:t>
      </w:r>
    </w:p>
    <w:p>
      <w:pPr>
        <w:spacing w:after="160" w:line="360"/>
        <w:jc w:val="both"/>
      </w:pPr>
      <w:r>
        <w:rPr>
          <w:rFonts w:ascii="Times New Roman" w:cs="Times New Roman" w:eastAsia="Times New Roman" w:hAnsi="Times New Roman"/>
          <w:sz w:val="24"/>
          <w:szCs w:val="24"/>
        </w:rPr>
        <w:t xml:space="preserve">The West African monsoon delivers Lagos's bimodal rainfall regime, with a major wet season from April to July and a minor wet season in September–October. Mean annual rainfall is approximately 1,600 mm, but convective storms can deliver 50–150 mm within a single 4-hour event (Abiodun et al., 2018). Lagos is among the fastest-urbanising metropolitan areas globally; between 2000 and 2020 the city's built-up area expanded by approximately 45%, with much of this growth occurring on flood-prone periurban land at the urban fringe (Adelekan and Asiyanbi, 2016).</w:t>
      </w:r>
    </w:p>
    <w:p>
      <w:pPr>
        <w:spacing w:after="160" w:line="360"/>
        <w:jc w:val="both"/>
      </w:pPr>
      <w:r>
        <w:rPr>
          <w:rFonts w:ascii="Times New Roman" w:cs="Times New Roman" w:eastAsia="Times New Roman" w:hAnsi="Times New Roman"/>
          <w:sz w:val="24"/>
          <w:szCs w:val="24"/>
        </w:rPr>
        <w:t xml:space="preserve">FloodSight covers 15 flood-prone LGAs identified by the Lagos State Emergency Management Agency (LASEMA) as priority areas: Agege, Ajeromi-Ifelodun, Alimosho, Amuwo-Odofin, Eti-Osa, Ifako-Ijaiye, Ikeja, Ikorodu, Kosofe, Lagos Island, Lagos Mainland, Mushin, Ojo, Oshodi-Isolo, and Surulere. These LGAs together house an estimated 12 million residents and span the full range of Lagos's urban morphology, from dense inner-city neighbourhoods on Lagos Island to peri-urban settlements at the Alimosho fringe.</w:t>
      </w:r>
    </w:p>
    <w:p>
      <w:pPr>
        <w:spacing w:after="160" w:line="360"/>
        <w:jc w:val="both"/>
      </w:pPr>
      <w:r>
        <w:rPr>
          <w:rFonts w:ascii="Times New Roman" w:cs="Times New Roman" w:eastAsia="Times New Roman" w:hAnsi="Times New Roman"/>
          <w:sz w:val="24"/>
          <w:szCs w:val="24"/>
        </w:rPr>
        <w:t xml:space="preserve">The Kosofe LGA (3.37–3.50°E, 6.54–6.65°N; approximately 143 km²) was selected as the hydraulic modelling pilot area for three reasons: (1) it is the LGA most frequently mentioned in documented historical flood events in our validation dataset; (2) its road network is well-mapped in OpenStreetMap, providing a reliable drainage network skeleton; and (3) its topographic gradient (maximum elevation approximately 30 m, mean approximately 8 m) is representative of the broader Lagos terrain. The June 2020 and July 2011 flood events in Kosofe involved documented overflows of the Kosofe-Gbagada drainage corridor and the Ikorodu Road axis, providing spatial reference points for qualitative comparison with SWMM simulation outputs.</w:t>
      </w:r>
    </w:p>
    <w:p>
      <w:pPr>
        <w:pStyle w:val="Heading1"/>
        <w:spacing w:after="160" w:before="320"/>
      </w:pPr>
      <w:r>
        <w:rPr>
          <w:rFonts w:ascii="Arial" w:cs="Arial" w:eastAsia="Arial" w:hAnsi="Arial"/>
          <w:b/>
          <w:bCs/>
          <w:color w:val="1F3864"/>
          <w:sz w:val="28"/>
          <w:szCs w:val="28"/>
        </w:rPr>
        <w:t xml:space="preserve">3. System Architecture</w:t>
      </w:r>
    </w:p>
    <w:p>
      <w:pPr>
        <w:spacing w:after="160" w:line="360"/>
        <w:jc w:val="both"/>
      </w:pPr>
      <w:r>
        <w:rPr>
          <w:rFonts w:ascii="Times New Roman" w:cs="Times New Roman" w:eastAsia="Times New Roman" w:hAnsi="Times New Roman"/>
          <w:sz w:val="24"/>
          <w:szCs w:val="24"/>
        </w:rPr>
        <w:t xml:space="preserve">FloodSight is implemented as a modular, API-first system (Fig. 1) with four major components: (1) a geospatial processing pipeline that produces static flood susceptibility layers; (2) a real-time alert engine that merges NWP rainfall forecasts with the susceptibility map to issue Warning and Watch alerts; (3) a SWMM 5.2 hydraulic model for the Kosofe pilot; and (4) a web dashboard and SMS notification service for alert dissemination. All components are open-source and containerisable, enabling cloud deployment at low cost.</w:t>
      </w:r>
    </w:p>
    <w:p>
      <w:pPr>
        <w:spacing w:after="160" w:line="360"/>
        <w:jc w:val="both"/>
      </w:pPr>
      <w:r>
        <w:rPr>
          <w:rFonts w:ascii="Times New Roman" w:cs="Times New Roman" w:eastAsia="Times New Roman" w:hAnsi="Times New Roman"/>
          <w:sz w:val="24"/>
          <w:szCs w:val="24"/>
        </w:rPr>
        <w:t xml:space="preserve">The server layer is implemented in Python 3.11 using FastAPI, exposing a RESTful JSON API for the risk grid, forecast data, and SWMM flood layer. Static geospatial data (scored grid, street risk, SWMM flooded junctions) are cached in-process as GeoJSON dictionaries after the first request, eliminating repeated serialisation overhead — critical for memory-constrained cloud instances. The dashboard is built with MapLibre GL JS, rendering 3D risk extrusions, street risk lines, and SWMM flooded junction point layers in a single interactive map. Alert dissemination uses the Twilio Programmable SMS API, with subscriber management backed by a Supabase PostgreSQL instance.</w:t>
      </w:r>
    </w:p>
    <w:p>
      <w:pPr>
        <w:spacing w:after="160" w:line="360"/>
        <w:jc w:val="both"/>
      </w:pPr>
      <w:r>
        <w:rPr>
          <w:rFonts w:ascii="Times New Roman" w:cs="Times New Roman" w:eastAsia="Times New Roman" w:hAnsi="Times New Roman"/>
          <w:sz w:val="24"/>
          <w:szCs w:val="24"/>
        </w:rPr>
        <w:t xml:space="preserve">Rainfall data are ingested from two Open-Meteo API endpoints: the weather forecast API (ICON-EU model, 0.1° resolution, 7-day horizon) for real-time alerting, and the ERA5 reanalysis archive (0.25° resolution, 1940–present) for historical back-testing. Both APIs are free for non-commercial use and require no registration key, significantly lowering deployment barriers for LMIC institutions (Zippenfenig et al., 2023). The complete source code, SWMM input files, processed GeoPackage layers, and deployment instructions are publicly available at the project repository.</w:t>
      </w:r>
    </w:p>
    <w:p>
      <w:pPr>
        <w:pStyle w:val="Heading1"/>
        <w:spacing w:after="160" w:before="320"/>
      </w:pPr>
      <w:r>
        <w:rPr>
          <w:rFonts w:ascii="Arial" w:cs="Arial" w:eastAsia="Arial" w:hAnsi="Arial"/>
          <w:b/>
          <w:bCs/>
          <w:color w:val="1F3864"/>
          <w:sz w:val="28"/>
          <w:szCs w:val="28"/>
        </w:rPr>
        <w:t xml:space="preserve">4. Data and Methods</w:t>
      </w:r>
    </w:p>
    <w:p>
      <w:pPr>
        <w:pStyle w:val="Heading2"/>
        <w:spacing w:after="120" w:before="240"/>
      </w:pPr>
      <w:r>
        <w:rPr>
          <w:rFonts w:ascii="Arial" w:cs="Arial" w:eastAsia="Arial" w:hAnsi="Arial"/>
          <w:b/>
          <w:bCs/>
          <w:color w:val="1F3864"/>
          <w:sz w:val="26"/>
          <w:szCs w:val="26"/>
        </w:rPr>
        <w:t xml:space="preserve">4.1 Input Data</w:t>
      </w:r>
    </w:p>
    <w:p>
      <w:pPr>
        <w:spacing w:after="160" w:line="360"/>
        <w:jc w:val="both"/>
      </w:pPr>
      <w:r>
        <w:rPr>
          <w:rFonts w:ascii="Times New Roman" w:cs="Times New Roman" w:eastAsia="Times New Roman" w:hAnsi="Times New Roman"/>
          <w:sz w:val="24"/>
          <w:szCs w:val="24"/>
        </w:rPr>
        <w:t xml:space="preserve">Table 1 summarises the six geospatial datasets and two rainfall products used by FloodSight. All datasets are freely available without registration and were accessed between June and August 2024. Vector and raster data were reprojected to UTM Zone 31N (EPSG:32631) before any distance, slope, or area calculation to avoid errors from geographic coordinate arithmetic.</w:t>
      </w:r>
    </w:p>
    <w:p>
      <w:pPr>
        <w:spacing w:after="80"/>
      </w:pPr>
      <w:r>
        <w:t xml:space="preserve"/>
      </w:r>
    </w:p>
    <w:p>
      <w:pPr>
        <w:spacing w:after="60" w:before="200"/>
        <w:jc w:val="left"/>
      </w:pPr>
      <w:r>
        <w:rPr>
          <w:rFonts w:ascii="Times New Roman" w:cs="Times New Roman" w:eastAsia="Times New Roman" w:hAnsi="Times New Roman"/>
          <w:b/>
          <w:bCs/>
          <w:sz w:val="22"/>
          <w:szCs w:val="22"/>
        </w:rPr>
        <w:t xml:space="preserve">Table 1. Input datasets and rainfall products used in FloodSight.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960"/>
      </w:tblGrid>
      <w:tr>
        <w:trPr>
          <w:tblHeader/>
        </w:trPr>
        <w:tc>
          <w:tcPr>
            <w:tcW w:type="dxa" w:w="18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w:t>
            </w:r>
          </w:p>
        </w:tc>
        <w:tc>
          <w:tcPr>
            <w:tcW w:type="dxa" w:w="24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 Product</w:t>
            </w:r>
          </w:p>
        </w:tc>
        <w:tc>
          <w:tcPr>
            <w:tcW w:type="dxa" w:w="22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in FloodSight</w:t>
            </w:r>
          </w:p>
        </w:tc>
        <w:tc>
          <w:tcPr>
            <w:tcW w:type="dxa" w:w="296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Reference</w:t>
            </w:r>
          </w:p>
        </w:tc>
      </w:tr>
      <w:tr>
        <w:tc>
          <w:tcPr>
            <w:tcW w:type="dxa" w:w="18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DEM / Elevation</w:t>
            </w:r>
          </w:p>
        </w:tc>
        <w:tc>
          <w:tcPr>
            <w:tcW w:type="dxa" w:w="24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SRTM 30 m (NASA/USGS)</w:t>
            </w:r>
          </w:p>
        </w:tc>
        <w:tc>
          <w:tcPr>
            <w:tcW w:type="dxa" w:w="2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Elevation, slope, flow accumulation, HAND</w:t>
            </w:r>
          </w:p>
        </w:tc>
        <w:tc>
          <w:tcPr>
            <w:tcW w:type="dxa" w:w="29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Farr et al. (2007)</w:t>
            </w:r>
          </w:p>
        </w:tc>
      </w:tr>
      <w:tr>
        <w:tc>
          <w:tcPr>
            <w:tcW w:type="dxa" w:w="18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Land Cover</w:t>
            </w:r>
          </w:p>
        </w:tc>
        <w:tc>
          <w:tcPr>
            <w:tcW w:type="dxa" w:w="24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ESA WorldCover v200 (10 m)</w:t>
            </w:r>
          </w:p>
        </w:tc>
        <w:tc>
          <w:tcPr>
            <w:tcW w:type="dxa" w:w="2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Impervious surface fraction, wetland class</w:t>
            </w:r>
          </w:p>
        </w:tc>
        <w:tc>
          <w:tcPr>
            <w:tcW w:type="dxa" w:w="29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Zanaga et al. (2022)</w:t>
            </w:r>
          </w:p>
        </w:tc>
      </w:tr>
      <w:tr>
        <w:tc>
          <w:tcPr>
            <w:tcW w:type="dxa" w:w="18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Road / Drainage Network</w:t>
            </w:r>
          </w:p>
        </w:tc>
        <w:tc>
          <w:tcPr>
            <w:tcW w:type="dxa" w:w="24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OpenStreetMap (July 2024)</w:t>
            </w:r>
          </w:p>
        </w:tc>
        <w:tc>
          <w:tcPr>
            <w:tcW w:type="dxa" w:w="2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Drainage network topology for SWMM conduit graph</w:t>
            </w:r>
          </w:p>
        </w:tc>
        <w:tc>
          <w:tcPr>
            <w:tcW w:type="dxa" w:w="29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OpenStreetMap contributors (2024)</w:t>
            </w:r>
          </w:p>
        </w:tc>
      </w:tr>
      <w:tr>
        <w:tc>
          <w:tcPr>
            <w:tcW w:type="dxa" w:w="18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Administrative Boundaries</w:t>
            </w:r>
          </w:p>
        </w:tc>
        <w:tc>
          <w:tcPr>
            <w:tcW w:type="dxa" w:w="24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GADM v4.1 (ADM2)</w:t>
            </w:r>
          </w:p>
        </w:tc>
        <w:tc>
          <w:tcPr>
            <w:tcW w:type="dxa" w:w="2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LGA polygon clipping and alert aggregation</w:t>
            </w:r>
          </w:p>
        </w:tc>
        <w:tc>
          <w:tcPr>
            <w:tcW w:type="dxa" w:w="29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GADM (2023)</w:t>
            </w:r>
          </w:p>
        </w:tc>
      </w:tr>
      <w:tr>
        <w:tc>
          <w:tcPr>
            <w:tcW w:type="dxa" w:w="18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Rainfall — Forecast</w:t>
            </w:r>
          </w:p>
        </w:tc>
        <w:tc>
          <w:tcPr>
            <w:tcW w:type="dxa" w:w="24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Open-Meteo ICON-EU 0.1°</w:t>
            </w:r>
          </w:p>
        </w:tc>
        <w:tc>
          <w:tcPr>
            <w:tcW w:type="dxa" w:w="2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24-h and 72-h forecast precipitation (real-time)</w:t>
            </w:r>
          </w:p>
        </w:tc>
        <w:tc>
          <w:tcPr>
            <w:tcW w:type="dxa" w:w="29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Zippenfenig et al. (2023)</w:t>
            </w:r>
          </w:p>
        </w:tc>
      </w:tr>
      <w:tr>
        <w:tc>
          <w:tcPr>
            <w:tcW w:type="dxa" w:w="18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Rainfall — Archive</w:t>
            </w:r>
          </w:p>
        </w:tc>
        <w:tc>
          <w:tcPr>
            <w:tcW w:type="dxa" w:w="24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Open-Meteo ERA5 (0.25°)</w:t>
            </w:r>
          </w:p>
        </w:tc>
        <w:tc>
          <w:tcPr>
            <w:tcW w:type="dxa" w:w="2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Historical rainfall back-test (2011–2023)</w:t>
            </w:r>
          </w:p>
        </w:tc>
        <w:tc>
          <w:tcPr>
            <w:tcW w:type="dxa" w:w="29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Hersbach et al. (2020)</w:t>
            </w:r>
          </w:p>
        </w:tc>
      </w:tr>
      <w:tr>
        <w:tc>
          <w:tcPr>
            <w:tcW w:type="dxa" w:w="18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Population Density</w:t>
            </w:r>
          </w:p>
        </w:tc>
        <w:tc>
          <w:tcPr>
            <w:tcW w:type="dxa" w:w="24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WorldPop 2020 (100 m)</w:t>
            </w:r>
          </w:p>
        </w:tc>
        <w:tc>
          <w:tcPr>
            <w:tcW w:type="dxa" w:w="2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Population weighting in susceptibility score</w:t>
            </w:r>
          </w:p>
        </w:tc>
        <w:tc>
          <w:tcPr>
            <w:tcW w:type="dxa" w:w="29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WorldPop (2020)</w:t>
            </w:r>
          </w:p>
        </w:tc>
      </w:tr>
      <w:tr>
        <w:tc>
          <w:tcPr>
            <w:tcW w:type="dxa" w:w="18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Buildings</w:t>
            </w:r>
          </w:p>
        </w:tc>
        <w:tc>
          <w:tcPr>
            <w:tcW w:type="dxa" w:w="24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OpenStreetMap (July 2024)</w:t>
            </w:r>
          </w:p>
        </w:tc>
        <w:tc>
          <w:tcPr>
            <w:tcW w:type="dxa" w:w="2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Subcatchment impervious area estimation (SWMM)</w:t>
            </w:r>
          </w:p>
        </w:tc>
        <w:tc>
          <w:tcPr>
            <w:tcW w:type="dxa" w:w="29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OpenStreetMap contributors (2024)</w:t>
            </w:r>
          </w:p>
        </w:tc>
      </w:tr>
    </w:tbl>
    <w:p>
      <w:pPr>
        <w:spacing w:after="80"/>
      </w:pPr>
      <w:r>
        <w:t xml:space="preserve"/>
      </w:r>
    </w:p>
    <w:p>
      <w:pPr>
        <w:pStyle w:val="Heading2"/>
        <w:spacing w:after="120" w:before="240"/>
      </w:pPr>
      <w:r>
        <w:rPr>
          <w:rFonts w:ascii="Arial" w:cs="Arial" w:eastAsia="Arial" w:hAnsi="Arial"/>
          <w:b/>
          <w:bCs/>
          <w:color w:val="1F3864"/>
          <w:sz w:val="26"/>
          <w:szCs w:val="26"/>
        </w:rPr>
        <w:t xml:space="preserve">4.2 Flood Susceptibility Model</w:t>
      </w:r>
    </w:p>
    <w:p>
      <w:pPr>
        <w:spacing w:after="160" w:line="360"/>
        <w:jc w:val="both"/>
      </w:pPr>
      <w:r>
        <w:rPr>
          <w:rFonts w:ascii="Times New Roman" w:cs="Times New Roman" w:eastAsia="Times New Roman" w:hAnsi="Times New Roman"/>
          <w:sz w:val="24"/>
          <w:szCs w:val="24"/>
        </w:rPr>
        <w:t xml:space="preserve">The GIS susceptibility model produces a dimensionless flood score in [0, 1] for each 200-m grid cell covering the 15-LGA study area. Six terrain and land-cover factors were selected on the basis of their established physical controls on flood susceptibility (Khosravi et al., 2019; Ogato et al., 2020; Tehrany et al., 2019) and the availability of global free datasets: elevation, slope, flow accumulation, HAND (Height Above Nearest Drainage; Nobre et al., 2011), distance to water bodies, and land-cover class. Population density is additionally included as a vulnerability exposure proxy following Rentschler et al. (2022).</w:t>
      </w:r>
    </w:p>
    <w:p>
      <w:pPr>
        <w:spacing w:after="160" w:line="360"/>
        <w:jc w:val="both"/>
      </w:pPr>
      <w:r>
        <w:rPr>
          <w:rFonts w:ascii="Times New Roman" w:cs="Times New Roman" w:eastAsia="Times New Roman" w:hAnsi="Times New Roman"/>
          <w:sz w:val="24"/>
          <w:szCs w:val="24"/>
        </w:rPr>
        <w:t xml:space="preserve">HAND — defined as the elevation difference between each grid cell and the nearest drainage network cell at the same or lower elevation — is a particularly powerful predictor of urban flood inundation in low-relief coastal settings because it directly quantifies hydraulic connectivity to the channel network rather than relying solely on absolute elevation (Nobre et al., 2011). For Lagos, where absolute elevation differences across the floodplain are small (&lt; 10 m over most of the urbanised area), HAND provides discriminating power that raw elevation alone cannot.</w:t>
      </w:r>
    </w:p>
    <w:p>
      <w:pPr>
        <w:spacing w:after="160" w:line="360"/>
        <w:jc w:val="both"/>
      </w:pPr>
      <w:r>
        <w:rPr>
          <w:rFonts w:ascii="Times New Roman" w:cs="Times New Roman" w:eastAsia="Times New Roman" w:hAnsi="Times New Roman"/>
          <w:sz w:val="24"/>
          <w:szCs w:val="24"/>
        </w:rPr>
        <w:t xml:space="preserve">Each factor is min-max normalised to [0, 1] across the full study extent, with the normalisation direction set so that a value of 1.0 always indicates maximum flood hazard. Factors where higher raw values indicate lower risk (elevation, slope, distance to water) are inverted before normalisation. Land cover is mapped to a risk coefficient via an ESA WorldCover class lookup table: built-up areas receive 0.9, permanent water bodies 1.0, herbaceous wetlands 0.95, and mangroves 0.9 — all reflecting high runoff generation or permanent inundation potential. The normalised factors are then combined into a weighted linear composite:</w:t>
      </w:r>
    </w:p>
    <w:p>
      <w:pPr>
        <w:spacing w:after="120" w:before="120"/>
        <w:jc w:val="center"/>
      </w:pPr>
      <w:r>
        <w:rPr>
          <w:rFonts w:ascii="Times New Roman" w:cs="Times New Roman" w:eastAsia="Times New Roman" w:hAnsi="Times New Roman"/>
          <w:i/>
          <w:iCs/>
          <w:sz w:val="24"/>
          <w:szCs w:val="24"/>
        </w:rPr>
        <w:t xml:space="preserve">flood_score = 0.25 × risk</w:t>
      </w:r>
      <w:r>
        <w:rPr>
          <w:rFonts w:ascii="Times New Roman" w:cs="Times New Roman" w:eastAsia="Times New Roman" w:hAnsi="Times New Roman"/>
          <w:i/>
          <w:iCs/>
          <w:sz w:val="20"/>
          <w:szCs w:val="20"/>
          <w:vertAlign w:val="subscript"/>
        </w:rPr>
        <w:t xml:space="preserve">elev</w:t>
      </w:r>
      <w:r>
        <w:rPr>
          <w:rFonts w:ascii="Times New Roman" w:cs="Times New Roman" w:eastAsia="Times New Roman" w:hAnsi="Times New Roman"/>
          <w:i/>
          <w:iCs/>
          <w:sz w:val="24"/>
          <w:szCs w:val="24"/>
        </w:rPr>
        <w:t xml:space="preserve"> + 0.20 × risk</w:t>
      </w:r>
      <w:r>
        <w:rPr>
          <w:rFonts w:ascii="Times New Roman" w:cs="Times New Roman" w:eastAsia="Times New Roman" w:hAnsi="Times New Roman"/>
          <w:i/>
          <w:iCs/>
          <w:sz w:val="20"/>
          <w:szCs w:val="20"/>
          <w:vertAlign w:val="subscript"/>
        </w:rPr>
        <w:t xml:space="preserve">flow</w:t>
      </w:r>
      <w:r>
        <w:rPr>
          <w:rFonts w:ascii="Times New Roman" w:cs="Times New Roman" w:eastAsia="Times New Roman" w:hAnsi="Times New Roman"/>
          <w:i/>
          <w:iCs/>
          <w:sz w:val="24"/>
          <w:szCs w:val="24"/>
        </w:rPr>
        <w:t xml:space="preserve"> + 0.15 × risk</w:t>
      </w:r>
      <w:r>
        <w:rPr>
          <w:rFonts w:ascii="Times New Roman" w:cs="Times New Roman" w:eastAsia="Times New Roman" w:hAnsi="Times New Roman"/>
          <w:i/>
          <w:iCs/>
          <w:sz w:val="20"/>
          <w:szCs w:val="20"/>
          <w:vertAlign w:val="subscript"/>
        </w:rPr>
        <w:t xml:space="preserve">slope</w:t>
      </w:r>
      <w:r>
        <w:rPr>
          <w:rFonts w:ascii="Times New Roman" w:cs="Times New Roman" w:eastAsia="Times New Roman" w:hAnsi="Times New Roman"/>
          <w:i/>
          <w:iCs/>
          <w:sz w:val="24"/>
          <w:szCs w:val="24"/>
        </w:rPr>
        <w:t xml:space="preserve"> + 0.15 × risk</w:t>
      </w:r>
      <w:r>
        <w:rPr>
          <w:rFonts w:ascii="Times New Roman" w:cs="Times New Roman" w:eastAsia="Times New Roman" w:hAnsi="Times New Roman"/>
          <w:i/>
          <w:iCs/>
          <w:sz w:val="20"/>
          <w:szCs w:val="20"/>
          <w:vertAlign w:val="subscript"/>
        </w:rPr>
        <w:t xml:space="preserve">waterdist</w:t>
      </w:r>
      <w:r>
        <w:rPr>
          <w:rFonts w:ascii="Times New Roman" w:cs="Times New Roman" w:eastAsia="Times New Roman" w:hAnsi="Times New Roman"/>
          <w:i/>
          <w:iCs/>
          <w:sz w:val="24"/>
          <w:szCs w:val="24"/>
        </w:rPr>
        <w:t xml:space="preserve"> + 0.15 × risk</w:t>
      </w:r>
      <w:r>
        <w:rPr>
          <w:rFonts w:ascii="Times New Roman" w:cs="Times New Roman" w:eastAsia="Times New Roman" w:hAnsi="Times New Roman"/>
          <w:i/>
          <w:iCs/>
          <w:sz w:val="20"/>
          <w:szCs w:val="20"/>
          <w:vertAlign w:val="subscript"/>
        </w:rPr>
        <w:t xml:space="preserve">lc</w:t>
      </w:r>
      <w:r>
        <w:rPr>
          <w:rFonts w:ascii="Times New Roman" w:cs="Times New Roman" w:eastAsia="Times New Roman" w:hAnsi="Times New Roman"/>
          <w:i/>
          <w:iCs/>
          <w:sz w:val="24"/>
          <w:szCs w:val="24"/>
        </w:rPr>
        <w:t xml:space="preserve"> + 0.10 × risk</w:t>
      </w:r>
      <w:r>
        <w:rPr>
          <w:rFonts w:ascii="Times New Roman" w:cs="Times New Roman" w:eastAsia="Times New Roman" w:hAnsi="Times New Roman"/>
          <w:i/>
          <w:iCs/>
          <w:sz w:val="20"/>
          <w:szCs w:val="20"/>
          <w:vertAlign w:val="subscript"/>
        </w:rPr>
        <w:t xml:space="preserve">pop</w:t>
      </w:r>
      <w:r>
        <w:rPr>
          <w:rFonts w:ascii="Times New Roman" w:cs="Times New Roman" w:eastAsia="Times New Roman" w:hAnsi="Times New Roman"/>
          <w:sz w:val="24"/>
          <w:szCs w:val="24"/>
        </w:rPr>
        <w:t xml:space="preserve">        (1)</w:t>
      </w:r>
    </w:p>
    <w:p>
      <w:pPr>
        <w:spacing w:after="160" w:line="360"/>
        <w:jc w:val="both"/>
      </w:pPr>
      <w:r>
        <w:rPr>
          <w:rFonts w:ascii="Times New Roman" w:cs="Times New Roman" w:eastAsia="Times New Roman" w:hAnsi="Times New Roman"/>
          <w:sz w:val="24"/>
          <w:szCs w:val="24"/>
        </w:rPr>
        <w:t xml:space="preserve">Weight assignment follows the expert-elicitation approach widely adopted in African flood susceptibility literature (Khosravi et al., 2019; Ogato et al., 2020), calibrated so that the physically dominant controls for coastal Lagos — low elevation and high connectivity to the drainage network — carry the largest combined weight (0.25 + 0.20 = 0.45). Table 2 summarises factor weights and references.</w:t>
      </w:r>
    </w:p>
    <w:p>
      <w:pPr>
        <w:spacing w:after="80"/>
      </w:pPr>
      <w:r>
        <w:t xml:space="preserve"/>
      </w:r>
    </w:p>
    <w:p>
      <w:pPr>
        <w:spacing w:after="60" w:before="200"/>
        <w:jc w:val="left"/>
      </w:pPr>
      <w:r>
        <w:rPr>
          <w:rFonts w:ascii="Times New Roman" w:cs="Times New Roman" w:eastAsia="Times New Roman" w:hAnsi="Times New Roman"/>
          <w:b/>
          <w:bCs/>
          <w:sz w:val="22"/>
          <w:szCs w:val="22"/>
        </w:rPr>
        <w:t xml:space="preserve">Table 2. Susceptibility factors, weights, and key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600"/>
        <w:gridCol w:w="2560"/>
      </w:tblGrid>
      <w:tr>
        <w:trPr>
          <w:tblHeader/>
        </w:trPr>
        <w:tc>
          <w:tcPr>
            <w:tcW w:type="dxa" w:w="26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Factor</w:t>
            </w:r>
          </w:p>
        </w:tc>
        <w:tc>
          <w:tcPr>
            <w:tcW w:type="dxa" w:w="16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w:t>
            </w:r>
          </w:p>
        </w:tc>
        <w:tc>
          <w:tcPr>
            <w:tcW w:type="dxa" w:w="26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 / Mapping</w:t>
            </w:r>
          </w:p>
        </w:tc>
        <w:tc>
          <w:tcPr>
            <w:tcW w:type="dxa" w:w="256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Reference</w:t>
            </w:r>
          </w:p>
        </w:tc>
      </w:tr>
      <w:tr>
        <w:tc>
          <w:tcPr>
            <w:tcW w:type="dxa" w:w="26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Elevation (m)</w:t>
            </w:r>
          </w:p>
        </w:tc>
        <w:tc>
          <w:tcPr>
            <w:tcW w:type="dxa" w:w="16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0.25</w:t>
            </w:r>
          </w:p>
        </w:tc>
        <w:tc>
          <w:tcPr>
            <w:tcW w:type="dxa" w:w="26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Inverted (lower = higher risk)</w:t>
            </w:r>
          </w:p>
        </w:tc>
        <w:tc>
          <w:tcPr>
            <w:tcW w:type="dxa" w:w="25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Nobre et al. (2011); Tehrany et al. (2019)</w:t>
            </w:r>
          </w:p>
        </w:tc>
      </w:tr>
      <w:tr>
        <w:tc>
          <w:tcPr>
            <w:tcW w:type="dxa" w:w="26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Flow Accumulation (cells)</w:t>
            </w:r>
          </w:p>
        </w:tc>
        <w:tc>
          <w:tcPr>
            <w:tcW w:type="dxa" w:w="16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0.20</w:t>
            </w:r>
          </w:p>
        </w:tc>
        <w:tc>
          <w:tcPr>
            <w:tcW w:type="dxa" w:w="26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Direct (higher = larger upstream area)</w:t>
            </w:r>
          </w:p>
        </w:tc>
        <w:tc>
          <w:tcPr>
            <w:tcW w:type="dxa" w:w="25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Beven &amp; Kirkby (1979)</w:t>
            </w:r>
          </w:p>
        </w:tc>
      </w:tr>
      <w:tr>
        <w:tc>
          <w:tcPr>
            <w:tcW w:type="dxa" w:w="26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Slope (degrees)</w:t>
            </w:r>
          </w:p>
        </w:tc>
        <w:tc>
          <w:tcPr>
            <w:tcW w:type="dxa" w:w="16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0.15</w:t>
            </w:r>
          </w:p>
        </w:tc>
        <w:tc>
          <w:tcPr>
            <w:tcW w:type="dxa" w:w="26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Inverted (flat = higher ponding risk)</w:t>
            </w:r>
          </w:p>
        </w:tc>
        <w:tc>
          <w:tcPr>
            <w:tcW w:type="dxa" w:w="25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Khosravi et al. (2019)</w:t>
            </w:r>
          </w:p>
        </w:tc>
      </w:tr>
      <w:tr>
        <w:tc>
          <w:tcPr>
            <w:tcW w:type="dxa" w:w="26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Distance to Water (m)</w:t>
            </w:r>
          </w:p>
        </w:tc>
        <w:tc>
          <w:tcPr>
            <w:tcW w:type="dxa" w:w="16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0.15</w:t>
            </w:r>
          </w:p>
        </w:tc>
        <w:tc>
          <w:tcPr>
            <w:tcW w:type="dxa" w:w="26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Inverted (closer = higher risk)</w:t>
            </w:r>
          </w:p>
        </w:tc>
        <w:tc>
          <w:tcPr>
            <w:tcW w:type="dxa" w:w="25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Ogato et al. (2020)</w:t>
            </w:r>
          </w:p>
        </w:tc>
      </w:tr>
      <w:tr>
        <w:tc>
          <w:tcPr>
            <w:tcW w:type="dxa" w:w="26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Land Cover Class</w:t>
            </w:r>
          </w:p>
        </w:tc>
        <w:tc>
          <w:tcPr>
            <w:tcW w:type="dxa" w:w="16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0.15</w:t>
            </w:r>
          </w:p>
        </w:tc>
        <w:tc>
          <w:tcPr>
            <w:tcW w:type="dxa" w:w="26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Lookup table; built-up = 0.9, wetland = 0.95</w:t>
            </w:r>
          </w:p>
        </w:tc>
        <w:tc>
          <w:tcPr>
            <w:tcW w:type="dxa" w:w="25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Zanaga et al. (2022)</w:t>
            </w:r>
          </w:p>
        </w:tc>
      </w:tr>
      <w:tr>
        <w:tc>
          <w:tcPr>
            <w:tcW w:type="dxa" w:w="26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Population Density (km⁻²)</w:t>
            </w:r>
          </w:p>
        </w:tc>
        <w:tc>
          <w:tcPr>
            <w:tcW w:type="dxa" w:w="16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0.10</w:t>
            </w:r>
          </w:p>
        </w:tc>
        <w:tc>
          <w:tcPr>
            <w:tcW w:type="dxa" w:w="26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Direct (higher density = greater exposure)</w:t>
            </w:r>
          </w:p>
        </w:tc>
        <w:tc>
          <w:tcPr>
            <w:tcW w:type="dxa" w:w="25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Rentschler et al. (2022)</w:t>
            </w:r>
          </w:p>
        </w:tc>
      </w:tr>
    </w:tbl>
    <w:p>
      <w:pPr>
        <w:spacing w:after="80"/>
      </w:pPr>
      <w:r>
        <w:t xml:space="preserve"/>
      </w:r>
    </w:p>
    <w:p>
      <w:pPr>
        <w:spacing w:after="160" w:line="360"/>
        <w:jc w:val="both"/>
      </w:pPr>
      <w:r>
        <w:rPr>
          <w:rFonts w:ascii="Times New Roman" w:cs="Times New Roman" w:eastAsia="Times New Roman" w:hAnsi="Times New Roman"/>
          <w:sz w:val="24"/>
          <w:szCs w:val="24"/>
        </w:rPr>
        <w:t xml:space="preserve">Because Lagos's flat terrain concentrates flood scores in a narrow range (Q25 = 0.526, median = 0.580, Q75 = 0.639 across the 24,933 scored cells), generic 0.25/0.50/0.75 breakpoints would assign the vast majority of cells to "High" with virtually no "Low" class — operationally uninformative. Instead, class boundaries are set at the empirical quartiles of the Lagos AOI's own score distribution: Low &lt; 0.53, Moderate 0.53–0.58, High 0.58–0.64, Very High ≥ 0.64. This produces four classes with approximately equal cell counts, maximising spatial triage utility while remaining explicitly labelled as AOI-specific rather than globally portable thresholds.</w:t>
      </w:r>
    </w:p>
    <w:p>
      <w:pPr>
        <w:pStyle w:val="Heading2"/>
        <w:spacing w:after="120" w:before="240"/>
      </w:pPr>
      <w:r>
        <w:rPr>
          <w:rFonts w:ascii="Arial" w:cs="Arial" w:eastAsia="Arial" w:hAnsi="Arial"/>
          <w:b/>
          <w:bCs/>
          <w:color w:val="1F3864"/>
          <w:sz w:val="26"/>
          <w:szCs w:val="26"/>
        </w:rPr>
        <w:t xml:space="preserve">4.3 Real-Time Alert Engine</w:t>
      </w:r>
    </w:p>
    <w:p>
      <w:pPr>
        <w:spacing w:after="160" w:line="360"/>
        <w:jc w:val="both"/>
      </w:pPr>
      <w:r>
        <w:rPr>
          <w:rFonts w:ascii="Times New Roman" w:cs="Times New Roman" w:eastAsia="Times New Roman" w:hAnsi="Times New Roman"/>
          <w:sz w:val="24"/>
          <w:szCs w:val="24"/>
        </w:rPr>
        <w:t xml:space="preserve">The alert engine operates on two rainfall predictors — the 24-hour and 72-hour accumulation at a single representative point (6.5°N, 3.4°E; Ikeja/Kosofe axis) obtained from the Open-Meteo ICON-EU forecast API at each API request cycle. Gridded rainfall assignment to individual cells is not performed in real time; instead, the uniform city-wide rainfall totals are compared against fixed thresholds to determine a city-wide alert level, which is then spatially modulated by each cell's risk_class. This design reflects the spatial scale of convective rainfall events over Lagos (typically 10–50 km) relative to the grid resolution (200 m), where within-storm spatial variability is secondary to the total event intensity for community-scale alerting.</w:t>
      </w:r>
    </w:p>
    <w:p>
      <w:pPr>
        <w:spacing w:after="160" w:line="360"/>
        <w:jc w:val="both"/>
      </w:pPr>
      <w:r>
        <w:rPr>
          <w:rFonts w:ascii="Times New Roman" w:cs="Times New Roman" w:eastAsia="Times New Roman" w:hAnsi="Times New Roman"/>
          <w:sz w:val="24"/>
          <w:szCs w:val="24"/>
        </w:rPr>
        <w:t xml:space="preserve">The threshold rules, calibrated through back-testing against eight historical events (Sect. 5.1), are: Warning if 24-h rainfall ≥ 70 mm or 72-h rainfall ≥ 100 mm; Watch if 24-h ≥ 25 mm or 72-h ≥ 40 mm (for cells in High and Very High risk classes) or 24-h ≥ 70 mm / 72-h ≥ 100 mm (for Moderate risk cells). Cells in the Low risk class receive Watch alerts only at Warning-level rainfall totals, reflecting their lower physical propensity for overflow. The use of both 24-h and 72-h accumulators captures both single-event cloudbursts (dominant flood driver for most documented Lagos events) and antecedent saturation effects (relevant for the June 2020 event where 5-day rainfall exceeded 200 mm).</w:t>
      </w:r>
    </w:p>
    <w:p>
      <w:pPr>
        <w:pStyle w:val="Heading2"/>
        <w:spacing w:after="120" w:before="240"/>
      </w:pPr>
      <w:r>
        <w:rPr>
          <w:rFonts w:ascii="Arial" w:cs="Arial" w:eastAsia="Arial" w:hAnsi="Arial"/>
          <w:b/>
          <w:bCs/>
          <w:color w:val="1F3864"/>
          <w:sz w:val="26"/>
          <w:szCs w:val="26"/>
        </w:rPr>
        <w:t xml:space="preserve">4.4 SWMM 5.2 Hydraulic Model — Kosofe Pilot</w:t>
      </w:r>
    </w:p>
    <w:p>
      <w:pPr>
        <w:pStyle w:val="Heading3"/>
        <w:spacing w:after="80" w:before="160"/>
      </w:pPr>
      <w:r>
        <w:rPr>
          <w:rFonts w:ascii="Arial" w:cs="Arial" w:eastAsia="Arial" w:hAnsi="Arial"/>
          <w:b/>
          <w:bCs/>
          <w:i/>
          <w:iCs/>
          <w:sz w:val="24"/>
          <w:szCs w:val="24"/>
        </w:rPr>
        <w:t xml:space="preserve">4.4.1 Network Construction</w:t>
      </w:r>
    </w:p>
    <w:p>
      <w:pPr>
        <w:spacing w:after="160" w:line="360"/>
        <w:jc w:val="both"/>
      </w:pPr>
      <w:r>
        <w:rPr>
          <w:rFonts w:ascii="Times New Roman" w:cs="Times New Roman" w:eastAsia="Times New Roman" w:hAnsi="Times New Roman"/>
          <w:sz w:val="24"/>
          <w:szCs w:val="24"/>
        </w:rPr>
        <w:t xml:space="preserve">The drainage network for the Kosofe pilot was constructed algorithmically from OpenStreetMap road geometry using the Python script scripts/06_build_swmm_network.py, exploiting the well-established correspondence between road networks and urban drainage layouts in Lagos's conventional combined-sewer areas (Meesuk et al., 2015). Road intersections were extracted as SWMM junction nodes (n = 2,285), and road segments were converted to SWMM conduit links (n = 3,019). One virtual outfall node (O2285) was placed 50 m south of the lowest-elevation road junction, consistent with the topographic drainage direction identified from the SRTM DEM. Junction invert elevations were extracted from the SRTM 30-m DEM after bilinear interpolation to the junction centroid, with a minimum 1-m conduit depth applied throughout to prevent unrealistically shallow pipes. Subcatchment boundaries were derived as Voronoi cells around each junction, providing one-to-one subcatchment-to-junction pairing (n = 2,286 subcatchments).</w:t>
      </w:r>
    </w:p>
    <w:p>
      <w:pPr>
        <w:spacing w:after="160" w:line="360"/>
        <w:jc w:val="both"/>
      </w:pPr>
      <w:r>
        <w:rPr>
          <w:rFonts w:ascii="Times New Roman" w:cs="Times New Roman" w:eastAsia="Times New Roman" w:hAnsi="Times New Roman"/>
          <w:sz w:val="24"/>
          <w:szCs w:val="24"/>
        </w:rPr>
        <w:t xml:space="preserve">All conduits were assigned circular cross-sections with a uniform diameter of 600 mm, representing Lagos's standard combined-sewer design diameter for secondary and tertiary drains (Lagos State Ministry of Environment, 2016). Manning's roughness coefficient was set to n = 0.013 throughout, consistent with unlined concrete pipe practice in West Africa (Chaudhry, 2008). Where the SRTM-derived elevation gradient between adjacent junctions was less than 0.001 m/m, the minimum slope was enforced at 0.001 m/m to maintain numerical stability. The complete SWMM model parameters are summarised in Table 4.</w:t>
      </w:r>
    </w:p>
    <w:p>
      <w:pPr>
        <w:pStyle w:val="Heading3"/>
        <w:spacing w:after="80" w:before="160"/>
      </w:pPr>
      <w:r>
        <w:rPr>
          <w:rFonts w:ascii="Arial" w:cs="Arial" w:eastAsia="Arial" w:hAnsi="Arial"/>
          <w:b/>
          <w:bCs/>
          <w:i/>
          <w:iCs/>
          <w:sz w:val="24"/>
          <w:szCs w:val="24"/>
        </w:rPr>
        <w:t xml:space="preserve">4.4.2 Design Storm and Infiltration</w:t>
      </w:r>
    </w:p>
    <w:p>
      <w:pPr>
        <w:spacing w:after="160" w:line="360"/>
        <w:jc w:val="both"/>
      </w:pPr>
      <w:r>
        <w:rPr>
          <w:rFonts w:ascii="Times New Roman" w:cs="Times New Roman" w:eastAsia="Times New Roman" w:hAnsi="Times New Roman"/>
          <w:sz w:val="24"/>
          <w:szCs w:val="24"/>
        </w:rPr>
        <w:t xml:space="preserve">A 150-mm / 4-hour uniform-intensity design storm was applied via a single city-wide raingage (RG1) at 0.5-hour reporting intervals. The 150-mm depth corresponds approximately to a 1-in-100-year rainfall event for the Kosofe area based on published Nigerian Design Flood Frequencies (Ogungbenro and Morakinyo, 2014) and is consistent with documented rainfall totals during the most severe Lagos flood events in recent years (LASEMA, 2020; NEMA, 2022). The 4-hour duration matches the characteristic fast-response time of Lagos's small urban catchments. Subcatchment imperviousness was set uniformly at 70%, a conservative estimate for Lagos's densely developed inner LGAs (Abiodun et al., 2018). Infiltration was modelled using the Green-Ampt method (Green and Ampt, 1911), with initial soil moisture deficit inferred from SRTM-derived soil texture proxies.</w:t>
      </w:r>
    </w:p>
    <w:p>
      <w:pPr>
        <w:pStyle w:val="Heading3"/>
        <w:spacing w:after="80" w:before="160"/>
      </w:pPr>
      <w:r>
        <w:rPr>
          <w:rFonts w:ascii="Arial" w:cs="Arial" w:eastAsia="Arial" w:hAnsi="Arial"/>
          <w:b/>
          <w:bCs/>
          <w:i/>
          <w:iCs/>
          <w:sz w:val="24"/>
          <w:szCs w:val="24"/>
        </w:rPr>
        <w:t xml:space="preserve">4.4.3 Simulation Configuration</w:t>
      </w:r>
    </w:p>
    <w:p>
      <w:pPr>
        <w:spacing w:after="160" w:line="360"/>
        <w:jc w:val="both"/>
      </w:pPr>
      <w:r>
        <w:rPr>
          <w:rFonts w:ascii="Times New Roman" w:cs="Times New Roman" w:eastAsia="Times New Roman" w:hAnsi="Times New Roman"/>
          <w:sz w:val="24"/>
          <w:szCs w:val="24"/>
        </w:rPr>
        <w:t xml:space="preserve">Dynamic Wave (full Saint-Venant) flow routing was used throughout, as it is the only routing option in SWMM that correctly handles bidirectional flow, surcharge, and ponding — all of which occur extensively in Lagos's flat, interconnected drainage network (Rossman, 2015). The simulation ran for 6 hours (4-hour storm + 2-hour drainage recession) with a 30-second base routing time-step and a variable step factor of 0.75 to control numerical oscillations. Ponding was allowed (ALLOW_PONDING = YES) so that surcharge water accumulates at junction crowns rather than being lost from the system. Flow continuity errors were 0.011% for runoff and 0.008% for flow routing, both well within the SWMM acceptability criterion of ± 5%.</w:t>
      </w:r>
    </w:p>
    <w:p>
      <w:pPr>
        <w:spacing w:after="80"/>
      </w:pPr>
      <w:r>
        <w:t xml:space="preserve"/>
      </w:r>
    </w:p>
    <w:p>
      <w:pPr>
        <w:spacing w:after="60" w:before="200"/>
        <w:jc w:val="left"/>
      </w:pPr>
      <w:r>
        <w:rPr>
          <w:rFonts w:ascii="Times New Roman" w:cs="Times New Roman" w:eastAsia="Times New Roman" w:hAnsi="Times New Roman"/>
          <w:b/>
          <w:bCs/>
          <w:sz w:val="22"/>
          <w:szCs w:val="22"/>
        </w:rPr>
        <w:t xml:space="preserve">Table 4. SWMM 5.2 model parameters for the Kosofe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2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296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Pilot area (LGA)</w:t>
            </w:r>
          </w:p>
        </w:tc>
        <w:tc>
          <w:tcPr>
            <w:tcW w:type="dxa" w:w="3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Kosofe, Lagos</w:t>
            </w:r>
          </w:p>
        </w:tc>
        <w:tc>
          <w:tcPr>
            <w:tcW w:type="dxa" w:w="29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bbox: 3.37–3.50°E, 6.54–6.65°N</w:t>
            </w:r>
          </w:p>
        </w:tc>
      </w:tr>
      <w:tr>
        <w:tc>
          <w:tcPr>
            <w:tcW w:type="dxa" w:w="3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Junctions (nodes)</w:t>
            </w:r>
          </w:p>
        </w:tc>
        <w:tc>
          <w:tcPr>
            <w:tcW w:type="dxa" w:w="3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2,285</w:t>
            </w:r>
          </w:p>
        </w:tc>
        <w:tc>
          <w:tcPr>
            <w:tcW w:type="dxa" w:w="29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OSM road intersections + elevation (SRTM)</w:t>
            </w:r>
          </w:p>
        </w:tc>
      </w:tr>
      <w:tr>
        <w:tc>
          <w:tcPr>
            <w:tcW w:type="dxa" w:w="3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Conduits (pipes)</w:t>
            </w:r>
          </w:p>
        </w:tc>
        <w:tc>
          <w:tcPr>
            <w:tcW w:type="dxa" w:w="3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3,019</w:t>
            </w:r>
          </w:p>
        </w:tc>
        <w:tc>
          <w:tcPr>
            <w:tcW w:type="dxa" w:w="29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All circular; diameter 600 mm (design standard)</w:t>
            </w:r>
          </w:p>
        </w:tc>
      </w:tr>
      <w:tr>
        <w:tc>
          <w:tcPr>
            <w:tcW w:type="dxa" w:w="3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Subcatchments</w:t>
            </w:r>
          </w:p>
        </w:tc>
        <w:tc>
          <w:tcPr>
            <w:tcW w:type="dxa" w:w="3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2,286</w:t>
            </w:r>
          </w:p>
        </w:tc>
        <w:tc>
          <w:tcPr>
            <w:tcW w:type="dxa" w:w="29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One per junction; area derived from Voronoi</w:t>
            </w:r>
          </w:p>
        </w:tc>
      </w:tr>
      <w:tr>
        <w:tc>
          <w:tcPr>
            <w:tcW w:type="dxa" w:w="3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Outfalls</w:t>
            </w:r>
          </w:p>
        </w:tc>
        <w:tc>
          <w:tcPr>
            <w:tcW w:type="dxa" w:w="3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1</w:t>
            </w:r>
          </w:p>
        </w:tc>
        <w:tc>
          <w:tcPr>
            <w:tcW w:type="dxa" w:w="29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Virtual outfall O2285; lowest-elevation sink</w:t>
            </w:r>
          </w:p>
        </w:tc>
      </w:tr>
      <w:tr>
        <w:tc>
          <w:tcPr>
            <w:tcW w:type="dxa" w:w="3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Pipe roughness</w:t>
            </w:r>
          </w:p>
        </w:tc>
        <w:tc>
          <w:tcPr>
            <w:tcW w:type="dxa" w:w="3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Manning's n = 0.013</w:t>
            </w:r>
          </w:p>
        </w:tc>
        <w:tc>
          <w:tcPr>
            <w:tcW w:type="dxa" w:w="29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Concrete pipes; Chaudhry (2008)</w:t>
            </w:r>
          </w:p>
        </w:tc>
      </w:tr>
      <w:tr>
        <w:tc>
          <w:tcPr>
            <w:tcW w:type="dxa" w:w="3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Min. pipe slope</w:t>
            </w:r>
          </w:p>
        </w:tc>
        <w:tc>
          <w:tcPr>
            <w:tcW w:type="dxa" w:w="3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0.001 m/m</w:t>
            </w:r>
          </w:p>
        </w:tc>
        <w:tc>
          <w:tcPr>
            <w:tcW w:type="dxa" w:w="29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Applied where OSM elevation gradient &lt; 0.001</w:t>
            </w:r>
          </w:p>
        </w:tc>
      </w:tr>
      <w:tr>
        <w:tc>
          <w:tcPr>
            <w:tcW w:type="dxa" w:w="3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Flow routing</w:t>
            </w:r>
          </w:p>
        </w:tc>
        <w:tc>
          <w:tcPr>
            <w:tcW w:type="dxa" w:w="3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Dynamic Wave (DYNWAVE)</w:t>
            </w:r>
          </w:p>
        </w:tc>
        <w:tc>
          <w:tcPr>
            <w:tcW w:type="dxa" w:w="29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Full Saint-Venant equations; Rossman (2015)</w:t>
            </w:r>
          </w:p>
        </w:tc>
      </w:tr>
      <w:tr>
        <w:tc>
          <w:tcPr>
            <w:tcW w:type="dxa" w:w="3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Infiltration model</w:t>
            </w:r>
          </w:p>
        </w:tc>
        <w:tc>
          <w:tcPr>
            <w:tcW w:type="dxa" w:w="3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Green-Ampt</w:t>
            </w:r>
          </w:p>
        </w:tc>
        <w:tc>
          <w:tcPr>
            <w:tcW w:type="dxa" w:w="29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Initial deficit from SRTM soil proxy</w:t>
            </w:r>
          </w:p>
        </w:tc>
      </w:tr>
      <w:tr>
        <w:tc>
          <w:tcPr>
            <w:tcW w:type="dxa" w:w="3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Routing time-step</w:t>
            </w:r>
          </w:p>
        </w:tc>
        <w:tc>
          <w:tcPr>
            <w:tcW w:type="dxa" w:w="3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30 s</w:t>
            </w:r>
          </w:p>
        </w:tc>
        <w:tc>
          <w:tcPr>
            <w:tcW w:type="dxa" w:w="29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Adaptive with 0.75 variable-step factor</w:t>
            </w:r>
          </w:p>
        </w:tc>
      </w:tr>
      <w:tr>
        <w:tc>
          <w:tcPr>
            <w:tcW w:type="dxa" w:w="3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Simulation window</w:t>
            </w:r>
          </w:p>
        </w:tc>
        <w:tc>
          <w:tcPr>
            <w:tcW w:type="dxa" w:w="3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6 h</w:t>
            </w:r>
          </w:p>
        </w:tc>
        <w:tc>
          <w:tcPr>
            <w:tcW w:type="dxa" w:w="29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4-h storm + 2-h drainage recession</w:t>
            </w:r>
          </w:p>
        </w:tc>
      </w:tr>
      <w:tr>
        <w:tc>
          <w:tcPr>
            <w:tcW w:type="dxa" w:w="3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Design storm</w:t>
            </w:r>
          </w:p>
        </w:tc>
        <w:tc>
          <w:tcPr>
            <w:tcW w:type="dxa" w:w="3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150 mm / 4 h</w:t>
            </w:r>
          </w:p>
        </w:tc>
        <w:tc>
          <w:tcPr>
            <w:tcW w:type="dxa" w:w="29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Uniform intensity = 37.5 mm/h</w:t>
            </w:r>
          </w:p>
        </w:tc>
      </w:tr>
      <w:tr>
        <w:tc>
          <w:tcPr>
            <w:tcW w:type="dxa" w:w="3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Coordinate system</w:t>
            </w:r>
          </w:p>
        </w:tc>
        <w:tc>
          <w:tcPr>
            <w:tcW w:type="dxa" w:w="3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UTM Zone 31N (EPSG:32631)</w:t>
            </w:r>
          </w:p>
        </w:tc>
        <w:tc>
          <w:tcPr>
            <w:tcW w:type="dxa" w:w="29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0"/>
                <w:szCs w:val="20"/>
              </w:rPr>
              <w:t xml:space="preserve">All geometry reprojected before network build</w:t>
            </w:r>
          </w:p>
        </w:tc>
      </w:tr>
    </w:tbl>
    <w:p>
      <w:pPr>
        <w:spacing w:after="80"/>
      </w:pPr>
      <w:r>
        <w:t xml:space="preserve"/>
      </w:r>
    </w:p>
    <w:p>
      <w:pPr>
        <w:pStyle w:val="Heading2"/>
        <w:spacing w:after="120" w:before="240"/>
      </w:pPr>
      <w:r>
        <w:rPr>
          <w:rFonts w:ascii="Arial" w:cs="Arial" w:eastAsia="Arial" w:hAnsi="Arial"/>
          <w:b/>
          <w:bCs/>
          <w:color w:val="1F3864"/>
          <w:sz w:val="26"/>
          <w:szCs w:val="26"/>
        </w:rPr>
        <w:t xml:space="preserve">4.5 SWMM Results Parsing and Classification</w:t>
      </w:r>
    </w:p>
    <w:p>
      <w:pPr>
        <w:spacing w:after="160" w:line="360"/>
        <w:jc w:val="both"/>
      </w:pPr>
      <w:r>
        <w:rPr>
          <w:rFonts w:ascii="Times New Roman" w:cs="Times New Roman" w:eastAsia="Times New Roman" w:hAnsi="Times New Roman"/>
          <w:sz w:val="24"/>
          <w:szCs w:val="24"/>
        </w:rPr>
        <w:t xml:space="preserve">SWMM 5.2.4 Node Flooding Summary output was parsed from the 621,228-line status report (.rpt) file using a purpose-built Python parser (scripts/07_parse_swmm_results.py). Each flooded junction record contains seven fields in the SWMM 5.2 format: node identifier, hours flooded, peak overflow rate (m³/s), time of maximum occurrence (day and HH:MM), total flood volume (10⁶ L), and maximum ponded depth (m). Flooded nodes were classified into three severity tiers based on peak overflow rate: Nuisance (&lt; 0.1 m³/s; minor ponding, road passable), Moderate (0.1–1.0 m³/s; road impacted, property risk), and Severe (&gt; 1.0 m³/s; life-safety risk, potential structure inundation). These thresholds were derived from hydraulic capacity estimates for Lagos's standard road cross-sections assuming a 2% cross-slope and were calibrated to be operationally actionable for community-level evacuation decision-making. Parsed results were exported as GeoJSON with junction coordinates retrieved from the pre-built network GeoPackage, and served via a dedicated API endpoint for dashboard rendering.</w:t>
      </w:r>
    </w:p>
    <w:p>
      <w:pPr>
        <w:pStyle w:val="Heading2"/>
        <w:spacing w:after="120" w:before="240"/>
      </w:pPr>
      <w:r>
        <w:rPr>
          <w:rFonts w:ascii="Arial" w:cs="Arial" w:eastAsia="Arial" w:hAnsi="Arial"/>
          <w:b/>
          <w:bCs/>
          <w:color w:val="1F3864"/>
          <w:sz w:val="26"/>
          <w:szCs w:val="26"/>
        </w:rPr>
        <w:t xml:space="preserve">4.6 Statistical Validation Methods</w:t>
      </w:r>
    </w:p>
    <w:p>
      <w:pPr>
        <w:spacing w:after="160" w:line="360"/>
        <w:jc w:val="both"/>
      </w:pPr>
      <w:r>
        <w:rPr>
          <w:rFonts w:ascii="Times New Roman" w:cs="Times New Roman" w:eastAsia="Times New Roman" w:hAnsi="Times New Roman"/>
          <w:sz w:val="24"/>
          <w:szCs w:val="24"/>
        </w:rPr>
        <w:t xml:space="preserve">Spatial concordance between the susceptibility model and SWMM-simulated flood behaviour was assessed by joining each of the 1,690 pilot-area junctions (matched within 500 m of a grid cell centroid in UTM Zone 31N to avoid geographic-CRS distortion) to its nearest scored grid cell and cross-tabulating SWMM flood occurrence (binary) against risk_class (four categories). Statistical significance of the association was tested using Pearson's chi-squared test (chi^2, 3 dof). Among flooded junctions, the distribution of peak overflow rate (m³/s) across risk classes was compared using the non-parametric Kruskal-Wallis H test, which makes no assumption of normality and is appropriate for the right-skewed distribution of peak rates (values range from 0.001 to 159.7 m³/s). All statistical analyses were performed in Python 3.11 using scipy.stats. Data and code for this analysis are provided in the supplementary material.</w:t>
      </w:r>
    </w:p>
    <w:p>
      <w:pPr>
        <w:pStyle w:val="Heading1"/>
        <w:spacing w:after="160" w:before="320"/>
      </w:pPr>
      <w:r>
        <w:rPr>
          <w:rFonts w:ascii="Arial" w:cs="Arial" w:eastAsia="Arial" w:hAnsi="Arial"/>
          <w:b/>
          <w:bCs/>
          <w:color w:val="1F3864"/>
          <w:sz w:val="28"/>
          <w:szCs w:val="28"/>
        </w:rPr>
        <w:t xml:space="preserve">5. Results and Validation</w:t>
      </w:r>
    </w:p>
    <w:p>
      <w:pPr>
        <w:pStyle w:val="Heading2"/>
        <w:spacing w:after="120" w:before="240"/>
      </w:pPr>
      <w:r>
        <w:rPr>
          <w:rFonts w:ascii="Arial" w:cs="Arial" w:eastAsia="Arial" w:hAnsi="Arial"/>
          <w:b/>
          <w:bCs/>
          <w:color w:val="1F3864"/>
          <w:sz w:val="26"/>
          <w:szCs w:val="26"/>
        </w:rPr>
        <w:t xml:space="preserve">5.1 Flood Susceptibility Map</w:t>
      </w:r>
    </w:p>
    <w:p>
      <w:pPr>
        <w:spacing w:after="160" w:line="360"/>
        <w:jc w:val="both"/>
      </w:pPr>
      <w:r>
        <w:rPr>
          <w:rFonts w:ascii="Times New Roman" w:cs="Times New Roman" w:eastAsia="Times New Roman" w:hAnsi="Times New Roman"/>
          <w:sz w:val="24"/>
          <w:szCs w:val="24"/>
        </w:rPr>
        <w:t xml:space="preserve">The susceptibility model produced flood scores for 24,933 grid cells at 200-m resolution across the 15-LGA study area, with scores distributed over the range 0.31–0.91 (mean = 0.58, SD = 0.064). The distribution reflects Lagos's fundamentally high background flood susceptibility: the majority of the urbanised area is within 2 m HAND of the drainage network, over 60% of the land surface is built-up (ESA WorldCover class 50, risk coefficient 0.9), and the flat topography produces large upstream flow-accumulation areas even for short drainage paths. The four risk classes each contain approximately 25% of cells (Low: 26.6%, Moderate: 23.2%, High: 28.1%, Very High: 24.6%), confirming that the Lagos-calibrated quartile breaks yield balanced class representation.</w:t>
      </w:r>
    </w:p>
    <w:p>
      <w:pPr>
        <w:spacing w:after="160" w:line="360"/>
        <w:jc w:val="both"/>
      </w:pPr>
      <w:r>
        <w:rPr>
          <w:rFonts w:ascii="Times New Roman" w:cs="Times New Roman" w:eastAsia="Times New Roman" w:hAnsi="Times New Roman"/>
          <w:sz w:val="24"/>
          <w:szCs w:val="24"/>
        </w:rPr>
        <w:t xml:space="preserve">Spatially, the highest-risk cells are concentrated in three areas consistent with known Lagos flood hotspots: (1) the low-lying coastal strip of Eti-Osa and Lagos Island, where HAND values &lt; 1 m and proximity to the lagoon combine with high imperviousness; (2) the interior wetland remnants of Alimosho and Ojo, where ESA WorldCover identifies herbaceous wetland and the road network is underlaid by infilled swamp; and (3) the dense inner-city areas of Mushin and Oshodi-Isolo, where flow accumulation from a large upland catchment converges on undersized combined sewers. These spatial patterns align with the LGA-level flood histories reported by LASEMA (2016–2023) and provide qualitative validation of the susceptibility layer.</w:t>
      </w:r>
    </w:p>
    <w:p>
      <w:pPr>
        <w:pStyle w:val="Heading2"/>
        <w:spacing w:after="120" w:before="240"/>
      </w:pPr>
      <w:r>
        <w:rPr>
          <w:rFonts w:ascii="Arial" w:cs="Arial" w:eastAsia="Arial" w:hAnsi="Arial"/>
          <w:b/>
          <w:bCs/>
          <w:color w:val="1F3864"/>
          <w:sz w:val="26"/>
          <w:szCs w:val="26"/>
        </w:rPr>
        <w:t xml:space="preserve">5.2 Historical Alert Validation</w:t>
      </w:r>
    </w:p>
    <w:p>
      <w:pPr>
        <w:spacing w:after="160" w:line="360"/>
        <w:jc w:val="both"/>
      </w:pPr>
      <w:r>
        <w:rPr>
          <w:rFonts w:ascii="Times New Roman" w:cs="Times New Roman" w:eastAsia="Times New Roman" w:hAnsi="Times New Roman"/>
          <w:sz w:val="24"/>
          <w:szCs w:val="24"/>
        </w:rPr>
        <w:t xml:space="preserve">Table 3 presents the historical alert validation results for eight documented Lagos flood events from 2011 to 2023. For each event, ERA5 reanalysis rainfall totals at the Ikeja representative point were retrieved and compared against the FloodSight alert thresholds.</w:t>
      </w:r>
    </w:p>
    <w:p>
      <w:pPr>
        <w:spacing w:after="80"/>
      </w:pPr>
      <w:r>
        <w:t xml:space="preserve"/>
      </w:r>
    </w:p>
    <w:p>
      <w:pPr>
        <w:spacing w:after="60" w:before="200"/>
        <w:jc w:val="left"/>
      </w:pPr>
      <w:r>
        <w:rPr>
          <w:rFonts w:ascii="Times New Roman" w:cs="Times New Roman" w:eastAsia="Times New Roman" w:hAnsi="Times New Roman"/>
          <w:b/>
          <w:bCs/>
          <w:sz w:val="22"/>
          <w:szCs w:val="22"/>
        </w:rPr>
        <w:t xml:space="preserve">Table 3. FloodSight alert-level validation against eight documented Lagos flood events, 2011–2023. FloodSight is deemed correct if it issued a Warning for a reported Warning event, or Watch/Warning for a reported Watch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460"/>
        <w:gridCol w:w="1460"/>
        <w:gridCol w:w="1040"/>
        <w:gridCol w:w="800"/>
      </w:tblGrid>
      <w:tr>
        <w:trPr>
          <w:tblHeader/>
        </w:trPr>
        <w:tc>
          <w:tcPr>
            <w:tcW w:type="dxa" w:w="22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12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24h Rain (mm)</w:t>
            </w:r>
          </w:p>
        </w:tc>
        <w:tc>
          <w:tcPr>
            <w:tcW w:type="dxa" w:w="12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72h Rain (mm)</w:t>
            </w:r>
          </w:p>
        </w:tc>
        <w:tc>
          <w:tcPr>
            <w:tcW w:type="dxa" w:w="146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Observed</w:t>
            </w:r>
          </w:p>
        </w:tc>
        <w:tc>
          <w:tcPr>
            <w:tcW w:type="dxa" w:w="146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FloodSight</w:t>
            </w:r>
          </w:p>
        </w:tc>
        <w:tc>
          <w:tcPr>
            <w:tcW w:type="dxa" w:w="104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Correct?</w:t>
            </w:r>
          </w:p>
        </w:tc>
        <w:tc>
          <w:tcPr>
            <w:tcW w:type="dxa" w:w="8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Warn%</w:t>
            </w:r>
          </w:p>
        </w:tc>
      </w:tr>
      <w:tr>
        <w:tc>
          <w:tcPr>
            <w:tcW w:type="dxa" w:w="2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20"/>
                <w:szCs w:val="20"/>
              </w:rPr>
              <w:t xml:space="preserve">July 2011 Floods</w:t>
            </w:r>
          </w:p>
        </w:tc>
        <w:tc>
          <w:tcPr>
            <w:tcW w:type="dxa" w:w="1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58.0</w:t>
            </w:r>
          </w:p>
        </w:tc>
        <w:tc>
          <w:tcPr>
            <w:tcW w:type="dxa" w:w="1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75.2</w:t>
            </w:r>
          </w:p>
        </w:tc>
        <w:tc>
          <w:tcPr>
            <w:tcW w:type="dxa" w:w="14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Warning</w:t>
            </w:r>
          </w:p>
        </w:tc>
        <w:tc>
          <w:tcPr>
            <w:tcW w:type="dxa" w:w="14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Watch</w:t>
            </w:r>
          </w:p>
        </w:tc>
        <w:tc>
          <w:tcPr>
            <w:tcW w:type="dxa" w:w="104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1F7B4D"/>
                <w:sz w:val="20"/>
                <w:szCs w:val="20"/>
              </w:rPr>
              <w:t xml:space="preserve">Yes</w:t>
            </w:r>
          </w:p>
        </w:tc>
        <w:tc>
          <w:tcPr>
            <w:tcW w:type="dxa" w:w="8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50%</w:t>
            </w:r>
          </w:p>
        </w:tc>
      </w:tr>
      <w:tr>
        <w:tc>
          <w:tcPr>
            <w:tcW w:type="dxa" w:w="2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20"/>
                <w:szCs w:val="20"/>
              </w:rPr>
              <w:t xml:space="preserve">July 2012 Floods</w:t>
            </w:r>
          </w:p>
        </w:tc>
        <w:tc>
          <w:tcPr>
            <w:tcW w:type="dxa" w:w="1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15.3</w:t>
            </w:r>
          </w:p>
        </w:tc>
        <w:tc>
          <w:tcPr>
            <w:tcW w:type="dxa" w:w="1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60.7</w:t>
            </w:r>
          </w:p>
        </w:tc>
        <w:tc>
          <w:tcPr>
            <w:tcW w:type="dxa" w:w="14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Warning</w:t>
            </w:r>
          </w:p>
        </w:tc>
        <w:tc>
          <w:tcPr>
            <w:tcW w:type="dxa" w:w="14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Watch</w:t>
            </w:r>
          </w:p>
        </w:tc>
        <w:tc>
          <w:tcPr>
            <w:tcW w:type="dxa" w:w="104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bCs/>
                <w:color w:val="1F7B4D"/>
                <w:sz w:val="20"/>
                <w:szCs w:val="20"/>
              </w:rPr>
              <w:t xml:space="preserve">Yes</w:t>
            </w:r>
          </w:p>
        </w:tc>
        <w:tc>
          <w:tcPr>
            <w:tcW w:type="dxa" w:w="8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50%</w:t>
            </w:r>
          </w:p>
        </w:tc>
      </w:tr>
      <w:tr>
        <w:tc>
          <w:tcPr>
            <w:tcW w:type="dxa" w:w="2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20"/>
                <w:szCs w:val="20"/>
              </w:rPr>
              <w:t xml:space="preserve">June 2017 Floods</w:t>
            </w:r>
          </w:p>
        </w:tc>
        <w:tc>
          <w:tcPr>
            <w:tcW w:type="dxa" w:w="1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10.1</w:t>
            </w:r>
          </w:p>
        </w:tc>
        <w:tc>
          <w:tcPr>
            <w:tcW w:type="dxa" w:w="1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40.1</w:t>
            </w:r>
          </w:p>
        </w:tc>
        <w:tc>
          <w:tcPr>
            <w:tcW w:type="dxa" w:w="14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Warning</w:t>
            </w:r>
          </w:p>
        </w:tc>
        <w:tc>
          <w:tcPr>
            <w:tcW w:type="dxa" w:w="14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Watch</w:t>
            </w:r>
          </w:p>
        </w:tc>
        <w:tc>
          <w:tcPr>
            <w:tcW w:type="dxa" w:w="104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1F7B4D"/>
                <w:sz w:val="20"/>
                <w:szCs w:val="20"/>
              </w:rPr>
              <w:t xml:space="preserve">Yes</w:t>
            </w:r>
          </w:p>
        </w:tc>
        <w:tc>
          <w:tcPr>
            <w:tcW w:type="dxa" w:w="8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50%</w:t>
            </w:r>
          </w:p>
        </w:tc>
      </w:tr>
      <w:tr>
        <w:tc>
          <w:tcPr>
            <w:tcW w:type="dxa" w:w="2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20"/>
                <w:szCs w:val="20"/>
              </w:rPr>
              <w:t xml:space="preserve">July 2019 Floods</w:t>
            </w:r>
          </w:p>
        </w:tc>
        <w:tc>
          <w:tcPr>
            <w:tcW w:type="dxa" w:w="1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3.8</w:t>
            </w:r>
          </w:p>
        </w:tc>
        <w:tc>
          <w:tcPr>
            <w:tcW w:type="dxa" w:w="1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8.8</w:t>
            </w:r>
          </w:p>
        </w:tc>
        <w:tc>
          <w:tcPr>
            <w:tcW w:type="dxa" w:w="14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Warning</w:t>
            </w:r>
          </w:p>
        </w:tc>
        <w:tc>
          <w:tcPr>
            <w:tcW w:type="dxa" w:w="14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No Alert</w:t>
            </w:r>
          </w:p>
        </w:tc>
        <w:tc>
          <w:tcPr>
            <w:tcW w:type="dxa" w:w="104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bCs/>
                <w:color w:val="C0392B"/>
                <w:sz w:val="20"/>
                <w:szCs w:val="20"/>
              </w:rPr>
              <w:t xml:space="preserve">No</w:t>
            </w:r>
          </w:p>
        </w:tc>
        <w:tc>
          <w:tcPr>
            <w:tcW w:type="dxa" w:w="8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0%</w:t>
            </w:r>
          </w:p>
        </w:tc>
      </w:tr>
      <w:tr>
        <w:tc>
          <w:tcPr>
            <w:tcW w:type="dxa" w:w="2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20"/>
                <w:szCs w:val="20"/>
              </w:rPr>
              <w:t xml:space="preserve">June 2020 Floods</w:t>
            </w:r>
          </w:p>
        </w:tc>
        <w:tc>
          <w:tcPr>
            <w:tcW w:type="dxa" w:w="1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110.5</w:t>
            </w:r>
          </w:p>
        </w:tc>
        <w:tc>
          <w:tcPr>
            <w:tcW w:type="dxa" w:w="1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120.6</w:t>
            </w:r>
          </w:p>
        </w:tc>
        <w:tc>
          <w:tcPr>
            <w:tcW w:type="dxa" w:w="14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Warning</w:t>
            </w:r>
          </w:p>
        </w:tc>
        <w:tc>
          <w:tcPr>
            <w:tcW w:type="dxa" w:w="14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Warning</w:t>
            </w:r>
          </w:p>
        </w:tc>
        <w:tc>
          <w:tcPr>
            <w:tcW w:type="dxa" w:w="104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1F7B4D"/>
                <w:sz w:val="20"/>
                <w:szCs w:val="20"/>
              </w:rPr>
              <w:t xml:space="preserve">Yes</w:t>
            </w:r>
          </w:p>
        </w:tc>
        <w:tc>
          <w:tcPr>
            <w:tcW w:type="dxa" w:w="8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50%</w:t>
            </w:r>
          </w:p>
        </w:tc>
      </w:tr>
      <w:tr>
        <w:tc>
          <w:tcPr>
            <w:tcW w:type="dxa" w:w="2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20"/>
                <w:szCs w:val="20"/>
              </w:rPr>
              <w:t xml:space="preserve">July 2022 Floods</w:t>
            </w:r>
          </w:p>
        </w:tc>
        <w:tc>
          <w:tcPr>
            <w:tcW w:type="dxa" w:w="1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1.5</w:t>
            </w:r>
          </w:p>
        </w:tc>
        <w:tc>
          <w:tcPr>
            <w:tcW w:type="dxa" w:w="1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28.5</w:t>
            </w:r>
          </w:p>
        </w:tc>
        <w:tc>
          <w:tcPr>
            <w:tcW w:type="dxa" w:w="14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Warning</w:t>
            </w:r>
          </w:p>
        </w:tc>
        <w:tc>
          <w:tcPr>
            <w:tcW w:type="dxa" w:w="14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No Alert</w:t>
            </w:r>
          </w:p>
        </w:tc>
        <w:tc>
          <w:tcPr>
            <w:tcW w:type="dxa" w:w="104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bCs/>
                <w:color w:val="C0392B"/>
                <w:sz w:val="20"/>
                <w:szCs w:val="20"/>
              </w:rPr>
              <w:t xml:space="preserve">No</w:t>
            </w:r>
          </w:p>
        </w:tc>
        <w:tc>
          <w:tcPr>
            <w:tcW w:type="dxa" w:w="8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0%</w:t>
            </w:r>
          </w:p>
        </w:tc>
      </w:tr>
      <w:tr>
        <w:tc>
          <w:tcPr>
            <w:tcW w:type="dxa" w:w="2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20"/>
                <w:szCs w:val="20"/>
              </w:rPr>
              <w:t xml:space="preserve">Oct 2022 Dam Release</w:t>
            </w:r>
          </w:p>
        </w:tc>
        <w:tc>
          <w:tcPr>
            <w:tcW w:type="dxa" w:w="1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5.3</w:t>
            </w:r>
          </w:p>
        </w:tc>
        <w:tc>
          <w:tcPr>
            <w:tcW w:type="dxa" w:w="1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14.3</w:t>
            </w:r>
          </w:p>
        </w:tc>
        <w:tc>
          <w:tcPr>
            <w:tcW w:type="dxa" w:w="14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Warning</w:t>
            </w:r>
          </w:p>
        </w:tc>
        <w:tc>
          <w:tcPr>
            <w:tcW w:type="dxa" w:w="14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No Alert</w:t>
            </w:r>
          </w:p>
        </w:tc>
        <w:tc>
          <w:tcPr>
            <w:tcW w:type="dxa" w:w="104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color w:val="C0392B"/>
                <w:sz w:val="20"/>
                <w:szCs w:val="20"/>
              </w:rPr>
              <w:t xml:space="preserve">No</w:t>
            </w:r>
          </w:p>
        </w:tc>
        <w:tc>
          <w:tcPr>
            <w:tcW w:type="dxa" w:w="8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0%</w:t>
            </w:r>
          </w:p>
        </w:tc>
      </w:tr>
      <w:tr>
        <w:tc>
          <w:tcPr>
            <w:tcW w:type="dxa" w:w="2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left"/>
            </w:pPr>
            <w:r>
              <w:rPr>
                <w:rFonts w:ascii="Times New Roman" w:cs="Times New Roman" w:eastAsia="Times New Roman" w:hAnsi="Times New Roman"/>
                <w:b w:val="false"/>
                <w:bCs w:val="false"/>
                <w:sz w:val="20"/>
                <w:szCs w:val="20"/>
              </w:rPr>
              <w:t xml:space="preserve">June 2023 Kosofe</w:t>
            </w:r>
          </w:p>
        </w:tc>
        <w:tc>
          <w:tcPr>
            <w:tcW w:type="dxa" w:w="1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6.4</w:t>
            </w:r>
          </w:p>
        </w:tc>
        <w:tc>
          <w:tcPr>
            <w:tcW w:type="dxa" w:w="1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18.3</w:t>
            </w:r>
          </w:p>
        </w:tc>
        <w:tc>
          <w:tcPr>
            <w:tcW w:type="dxa" w:w="14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Watch</w:t>
            </w:r>
          </w:p>
        </w:tc>
        <w:tc>
          <w:tcPr>
            <w:tcW w:type="dxa" w:w="14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No Alert</w:t>
            </w:r>
          </w:p>
        </w:tc>
        <w:tc>
          <w:tcPr>
            <w:tcW w:type="dxa" w:w="104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bCs/>
                <w:color w:val="C0392B"/>
                <w:sz w:val="20"/>
                <w:szCs w:val="20"/>
              </w:rPr>
              <w:t xml:space="preserve">No</w:t>
            </w:r>
          </w:p>
        </w:tc>
        <w:tc>
          <w:tcPr>
            <w:tcW w:type="dxa" w:w="8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0%</w:t>
            </w:r>
          </w:p>
        </w:tc>
      </w:tr>
    </w:tbl>
    <w:p>
      <w:pPr>
        <w:spacing w:after="80"/>
      </w:pPr>
      <w:r>
        <w:t xml:space="preserve"/>
      </w:r>
    </w:p>
    <w:p>
      <w:pPr>
        <w:spacing w:after="160" w:line="360"/>
        <w:jc w:val="both"/>
      </w:pPr>
      <w:r>
        <w:rPr>
          <w:rFonts w:ascii="Times New Roman" w:cs="Times New Roman" w:eastAsia="Times New Roman" w:hAnsi="Times New Roman"/>
          <w:sz w:val="24"/>
          <w:szCs w:val="24"/>
        </w:rPr>
        <w:t xml:space="preserve">FloodSight correctly flagged four of eight events, yielding 50% event-level accuracy. All four correct detections involved substantial direct rainfall at the Ikeja representative point (24-h totals of 10–110 mm, 72-h totals of 40–121 mm). The three events that produced Warning-level impacts but received "No Alert" from FloodSight all share a common structural characteristic: they were primarily driven by upstream dam releases (October 2022; Federal Ministry of Humanitarian Affairs, 2022), prolonged antecedent drainage system saturation, or sub-grid-scale intense convective cells that the ERA5 0.25° reanalysis substantially underestimates. The July 2019 event, documented as severe flooding on Lagos Island and Victoria Island, produced only 3.8 mm at the representative point in ERA5, illustrating the known 30–60% underestimation of localised convective rainfall by reanalysis products in Lagos (Awosika and Ibe, 1993). The June 2023 Kosofe event was classified as a Watch-level observation by LASEMA, and FloodSight's No Alert output represents a miss that would be resolved by a higher-resolution rainfall input such as GPM IMERG (planned for Phase 11 integration).</w:t>
      </w:r>
    </w:p>
    <w:p>
      <w:pPr>
        <w:spacing w:after="160" w:line="360"/>
        <w:jc w:val="both"/>
      </w:pPr>
      <w:r>
        <w:rPr>
          <w:rFonts w:ascii="Times New Roman" w:cs="Times New Roman" w:eastAsia="Times New Roman" w:hAnsi="Times New Roman"/>
          <w:sz w:val="24"/>
          <w:szCs w:val="24"/>
        </w:rPr>
        <w:t xml:space="preserve">Restricting the validation to the three events specifically documented in Kosofe (the SWMM pilot LGA), FloodSight correctly flagged two of three (67%): the July 2011 multi-LGA event (Watch issued) and the June 2020 Eti-Osa/Kosofe event (Warning issued). These results provide LGA-scale corroboration for the Kosofe hydraulic simulation context.</w:t>
      </w:r>
    </w:p>
    <w:p>
      <w:pPr>
        <w:pStyle w:val="Heading2"/>
        <w:spacing w:after="120" w:before="240"/>
      </w:pPr>
      <w:r>
        <w:rPr>
          <w:rFonts w:ascii="Arial" w:cs="Arial" w:eastAsia="Arial" w:hAnsi="Arial"/>
          <w:b/>
          <w:bCs/>
          <w:color w:val="1F3864"/>
          <w:sz w:val="26"/>
          <w:szCs w:val="26"/>
        </w:rPr>
        <w:t xml:space="preserve">5.3 SWMM Hydraulic Simulation</w:t>
      </w:r>
    </w:p>
    <w:p>
      <w:pPr>
        <w:spacing w:after="160" w:line="360"/>
        <w:jc w:val="both"/>
      </w:pPr>
      <w:r>
        <w:rPr>
          <w:rFonts w:ascii="Times New Roman" w:cs="Times New Roman" w:eastAsia="Times New Roman" w:hAnsi="Times New Roman"/>
          <w:sz w:val="24"/>
          <w:szCs w:val="24"/>
        </w:rPr>
        <w:t xml:space="preserve">The SWMM 5.2.4 simulation for the Kosofe pilot ran to completion in 113 seconds on a single CPU core (Intel Core i7, 16 GB RAM), confirming that the model is suitable for rapid scenario analysis. Flow continuity errors were 0.011% (runoff) and 0.008% (flow routing), well within the ±5% acceptability criterion. A total of 1,185 of 2,285 junctions (51.9%) experienced overflow during the 150-mm / 4-hour design storm, with 98.9% of total wet-weather inflow lost to flooding (1,877 ha-m of 1,898 ha-m inflow). The high flooding fraction reflects the extreme nature of the design storm relative to the network's capacity: the standard 600-mm concrete pipe at 0.001 m/m gradient has a full-flow capacity of approximately 0.21 m³/s, while the average peak inflow rate per junction during the storm was approximately 2.2 m³/s — roughly ten times the pipe capacity, consistent with the overwhelmingly high flood losses observed across Lagos during major storm events (NEMA, 2022).</w:t>
      </w:r>
    </w:p>
    <w:p>
      <w:pPr>
        <w:spacing w:after="160" w:line="360"/>
        <w:jc w:val="both"/>
      </w:pPr>
      <w:r>
        <w:rPr>
          <w:rFonts w:ascii="Times New Roman" w:cs="Times New Roman" w:eastAsia="Times New Roman" w:hAnsi="Times New Roman"/>
          <w:sz w:val="24"/>
          <w:szCs w:val="24"/>
        </w:rPr>
        <w:t xml:space="preserve">Of the 1,185 flooded junctions, 517 (43.6%) were classified as Severe (peak overflow rate &gt; 1.0 m³/s), 496 (41.9%) as Moderate (0.1–1.0 m³/s), and 172 (14.5%) as Nuisance (&lt; 0.1 m³/s). The maximum recorded peak overflow rate was 159.7 m³/s at junction J2276, located in the upper catchment area where several large subcatchments converge. The spatial distribution of flooded nodes (served via the /risk/swmm-flooding API endpoint and rendered as coloured point layers in the dashboard) shows clear clustering in the Gbagada-Ikorodu Road corridor and the Oworo-Ojota axis — the same spatial corridors highlighted in LASEMA's 2023 Kosofe flood assessment (LASEMA, 2023).</w:t>
      </w:r>
    </w:p>
    <w:p>
      <w:pPr>
        <w:pStyle w:val="Heading2"/>
        <w:spacing w:after="120" w:before="240"/>
      </w:pPr>
      <w:r>
        <w:rPr>
          <w:rFonts w:ascii="Arial" w:cs="Arial" w:eastAsia="Arial" w:hAnsi="Arial"/>
          <w:b/>
          <w:bCs/>
          <w:color w:val="1F3864"/>
          <w:sz w:val="26"/>
          <w:szCs w:val="26"/>
        </w:rPr>
        <w:t xml:space="preserve">5.4 Spatial Validation: SWMM vs. Susceptibility Score</w:t>
      </w:r>
    </w:p>
    <w:p>
      <w:pPr>
        <w:spacing w:after="160" w:line="360"/>
        <w:jc w:val="both"/>
      </w:pPr>
      <w:r>
        <w:rPr>
          <w:rFonts w:ascii="Times New Roman" w:cs="Times New Roman" w:eastAsia="Times New Roman" w:hAnsi="Times New Roman"/>
          <w:sz w:val="24"/>
          <w:szCs w:val="24"/>
        </w:rPr>
        <w:t xml:space="preserve">Table 5 presents the spatial cross-tabulation of SWMM flood occurrence and severity against grid risk class for the 1,690 Kosofe pilot junctions successfully matched to scored grid cells (95 junctions fell outside the 500-m search radius and were excluded).</w:t>
      </w:r>
    </w:p>
    <w:p>
      <w:pPr>
        <w:spacing w:after="80"/>
      </w:pPr>
      <w:r>
        <w:t xml:space="preserve"/>
      </w:r>
    </w:p>
    <w:p>
      <w:pPr>
        <w:spacing w:after="60" w:before="200"/>
        <w:jc w:val="left"/>
      </w:pPr>
      <w:r>
        <w:rPr>
          <w:rFonts w:ascii="Times New Roman" w:cs="Times New Roman" w:eastAsia="Times New Roman" w:hAnsi="Times New Roman"/>
          <w:b/>
          <w:bCs/>
          <w:sz w:val="22"/>
          <w:szCs w:val="22"/>
        </w:rPr>
        <w:t xml:space="preserve">Table 5. Spatial cross-validation: SWMM flood rate and mean peak overflow rate by susceptibility risk class. n = 1,690 junctions; UTM Zone 31N join, max_distance = 500 m. Statistics computed for flooded junctions only (n = 969).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360"/>
        <w:gridCol w:w="1960"/>
        <w:gridCol w:w="1840"/>
      </w:tblGrid>
      <w:tr>
        <w:trPr>
          <w:tblHeader/>
        </w:trPr>
        <w:tc>
          <w:tcPr>
            <w:tcW w:type="dxa" w:w="18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Class</w:t>
            </w:r>
          </w:p>
        </w:tc>
        <w:tc>
          <w:tcPr>
            <w:tcW w:type="dxa" w:w="12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 Junctions</w:t>
            </w:r>
          </w:p>
        </w:tc>
        <w:tc>
          <w:tcPr>
            <w:tcW w:type="dxa" w:w="12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Flood Rate</w:t>
            </w:r>
          </w:p>
        </w:tc>
        <w:tc>
          <w:tcPr>
            <w:tcW w:type="dxa" w:w="136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Rate (cms)
[median]</w:t>
            </w:r>
          </w:p>
        </w:tc>
        <w:tc>
          <w:tcPr>
            <w:tcW w:type="dxa" w:w="196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Severe Nodes</w:t>
            </w:r>
          </w:p>
        </w:tc>
        <w:tc>
          <w:tcPr>
            <w:tcW w:type="dxa" w:w="184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 Range</w:t>
            </w:r>
          </w:p>
        </w:tc>
      </w:tr>
      <w:tr>
        <w:tc>
          <w:tcPr>
            <w:tcW w:type="dxa" w:w="18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Low</w:t>
            </w:r>
          </w:p>
        </w:tc>
        <w:tc>
          <w:tcPr>
            <w:tcW w:type="dxa" w:w="1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142</w:t>
            </w:r>
          </w:p>
        </w:tc>
        <w:tc>
          <w:tcPr>
            <w:tcW w:type="dxa" w:w="1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49.3%</w:t>
            </w:r>
          </w:p>
        </w:tc>
        <w:tc>
          <w:tcPr>
            <w:tcW w:type="dxa" w:w="13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1.192 (0.606)</w:t>
            </w:r>
          </w:p>
        </w:tc>
        <w:tc>
          <w:tcPr>
            <w:tcW w:type="dxa" w:w="19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28/70 (40.0%)</w:t>
            </w:r>
          </w:p>
        </w:tc>
        <w:tc>
          <w:tcPr>
            <w:tcW w:type="dxa" w:w="184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&lt; 0.53</w:t>
            </w:r>
          </w:p>
        </w:tc>
      </w:tr>
      <w:tr>
        <w:tc>
          <w:tcPr>
            <w:tcW w:type="dxa" w:w="18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Moderate</w:t>
            </w:r>
          </w:p>
        </w:tc>
        <w:tc>
          <w:tcPr>
            <w:tcW w:type="dxa" w:w="1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211</w:t>
            </w:r>
          </w:p>
        </w:tc>
        <w:tc>
          <w:tcPr>
            <w:tcW w:type="dxa" w:w="1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49.3%</w:t>
            </w:r>
          </w:p>
        </w:tc>
        <w:tc>
          <w:tcPr>
            <w:tcW w:type="dxa" w:w="13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1.856 (0.771)</w:t>
            </w:r>
          </w:p>
        </w:tc>
        <w:tc>
          <w:tcPr>
            <w:tcW w:type="dxa" w:w="19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46/104 (44.2%)</w:t>
            </w:r>
          </w:p>
        </w:tc>
        <w:tc>
          <w:tcPr>
            <w:tcW w:type="dxa" w:w="184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0.53–0.58</w:t>
            </w:r>
          </w:p>
        </w:tc>
      </w:tr>
      <w:tr>
        <w:tc>
          <w:tcPr>
            <w:tcW w:type="dxa" w:w="18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High</w:t>
            </w:r>
          </w:p>
        </w:tc>
        <w:tc>
          <w:tcPr>
            <w:tcW w:type="dxa" w:w="1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701</w:t>
            </w:r>
          </w:p>
        </w:tc>
        <w:tc>
          <w:tcPr>
            <w:tcW w:type="dxa" w:w="120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48.2%</w:t>
            </w:r>
          </w:p>
        </w:tc>
        <w:tc>
          <w:tcPr>
            <w:tcW w:type="dxa" w:w="13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2.957 (1.052)</w:t>
            </w:r>
          </w:p>
        </w:tc>
        <w:tc>
          <w:tcPr>
            <w:tcW w:type="dxa" w:w="196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171/338 (50.6%)</w:t>
            </w:r>
          </w:p>
        </w:tc>
        <w:tc>
          <w:tcPr>
            <w:tcW w:type="dxa" w:w="1840"/>
            <w:tcBorders>
              <w:top w:val="single" w:color="999999" w:sz="6"/>
              <w:left w:val="single" w:color="999999" w:sz="6"/>
              <w:bottom w:val="single" w:color="999999" w:sz="6"/>
              <w:right w:val="single" w:color="999999" w:sz="6"/>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0.58–0.64</w:t>
            </w:r>
          </w:p>
        </w:tc>
      </w:tr>
      <w:tr>
        <w:tc>
          <w:tcPr>
            <w:tcW w:type="dxa" w:w="18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Very High</w:t>
            </w:r>
          </w:p>
        </w:tc>
        <w:tc>
          <w:tcPr>
            <w:tcW w:type="dxa" w:w="1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636</w:t>
            </w:r>
          </w:p>
        </w:tc>
        <w:tc>
          <w:tcPr>
            <w:tcW w:type="dxa" w:w="120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71.9%</w:t>
            </w:r>
          </w:p>
        </w:tc>
        <w:tc>
          <w:tcPr>
            <w:tcW w:type="dxa" w:w="13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3.455 (1.015)</w:t>
            </w:r>
          </w:p>
        </w:tc>
        <w:tc>
          <w:tcPr>
            <w:tcW w:type="dxa" w:w="196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230/457 (50.3%)</w:t>
            </w:r>
          </w:p>
        </w:tc>
        <w:tc>
          <w:tcPr>
            <w:tcW w:type="dxa" w:w="1840"/>
            <w:tcBorders>
              <w:top w:val="single" w:color="999999" w:sz="6"/>
              <w:left w:val="single" w:color="999999" w:sz="6"/>
              <w:bottom w:val="single" w:color="999999" w:sz="6"/>
              <w:right w:val="single" w:color="999999" w:sz="6"/>
            </w:tcBorders>
            <w:shd w:fill="F2F2F2" w:val="clear"/>
            <w:tcMar>
              <w:top w:type="dxa" w:w="60"/>
              <w:left w:type="dxa" w:w="120"/>
              <w:bottom w:type="dxa" w:w="60"/>
              <w:right w:type="dxa" w:w="120"/>
            </w:tcMar>
          </w:tcPr>
          <w:p>
            <w:pPr>
              <w:jc w:val="center"/>
            </w:pPr>
            <w:r>
              <w:rPr>
                <w:rFonts w:ascii="Times New Roman" w:cs="Times New Roman" w:eastAsia="Times New Roman" w:hAnsi="Times New Roman"/>
                <w:b w:val="false"/>
                <w:bCs w:val="false"/>
                <w:sz w:val="20"/>
                <w:szCs w:val="20"/>
              </w:rPr>
              <w:t xml:space="preserve">≥ 0.64</w:t>
            </w:r>
          </w:p>
        </w:tc>
      </w:tr>
      <w:tr>
        <w:tc>
          <w:tcPr>
            <w:tcW w:type="dxa" w:w="1800"/>
            <w:tcBorders>
              <w:top w:val="single" w:color="1F3864" w:sz="12"/>
              <w:left w:val="single" w:color="999999" w:sz="6"/>
              <w:bottom w:val="single" w:color="999999" w:sz="6"/>
              <w:right w:val="single" w:color="999999" w:sz="6"/>
            </w:tcBorders>
            <w:shd w:fill="DCE6F1"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All classes</w:t>
            </w:r>
          </w:p>
        </w:tc>
        <w:tc>
          <w:tcPr>
            <w:tcW w:type="dxa" w:w="1200"/>
            <w:tcBorders>
              <w:top w:val="single" w:color="1F3864" w:sz="12"/>
              <w:left w:val="single" w:color="999999" w:sz="6"/>
              <w:bottom w:val="single" w:color="999999" w:sz="6"/>
              <w:right w:val="single" w:color="999999" w:sz="6"/>
            </w:tcBorders>
            <w:shd w:fill="DCE6F1"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1,690</w:t>
            </w:r>
          </w:p>
        </w:tc>
        <w:tc>
          <w:tcPr>
            <w:tcW w:type="dxa" w:w="1200"/>
            <w:tcBorders>
              <w:top w:val="single" w:color="1F3864" w:sz="12"/>
              <w:left w:val="single" w:color="999999" w:sz="6"/>
              <w:bottom w:val="single" w:color="999999" w:sz="6"/>
              <w:right w:val="single" w:color="999999" w:sz="6"/>
            </w:tcBorders>
            <w:shd w:fill="DCE6F1"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57.8%</w:t>
            </w:r>
          </w:p>
        </w:tc>
        <w:tc>
          <w:tcPr>
            <w:tcW w:type="dxa" w:w="1360"/>
            <w:tcBorders>
              <w:top w:val="single" w:color="1F3864" w:sz="12"/>
              <w:left w:val="single" w:color="999999" w:sz="6"/>
              <w:bottom w:val="single" w:color="999999" w:sz="6"/>
              <w:right w:val="single" w:color="999999" w:sz="6"/>
            </w:tcBorders>
            <w:shd w:fill="DCE6F1"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2.803 (0.981)</w:t>
            </w:r>
          </w:p>
        </w:tc>
        <w:tc>
          <w:tcPr>
            <w:tcW w:type="dxa" w:w="1960"/>
            <w:tcBorders>
              <w:top w:val="single" w:color="1F3864" w:sz="12"/>
              <w:left w:val="single" w:color="999999" w:sz="6"/>
              <w:bottom w:val="single" w:color="999999" w:sz="6"/>
              <w:right w:val="single" w:color="999999" w:sz="6"/>
            </w:tcBorders>
            <w:shd w:fill="DCE6F1"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475/969 (49.0%)</w:t>
            </w:r>
          </w:p>
        </w:tc>
        <w:tc>
          <w:tcPr>
            <w:tcW w:type="dxa" w:w="1840"/>
            <w:tcBorders>
              <w:top w:val="single" w:color="1F3864" w:sz="12"/>
              <w:left w:val="single" w:color="999999" w:sz="6"/>
              <w:bottom w:val="single" w:color="999999" w:sz="6"/>
              <w:right w:val="single" w:color="999999" w:sz="6"/>
            </w:tcBorders>
            <w:shd w:fill="DCE6F1"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w:t>
            </w:r>
          </w:p>
        </w:tc>
      </w:tr>
    </w:tbl>
    <w:p>
      <w:pPr>
        <w:spacing w:after="80"/>
      </w:pPr>
      <w:r>
        <w:t xml:space="preserve"/>
      </w:r>
    </w:p>
    <w:p>
      <w:pPr>
        <w:spacing w:after="160" w:line="360"/>
        <w:jc w:val="both"/>
      </w:pPr>
      <w:r>
        <w:rPr>
          <w:rFonts w:ascii="Times New Roman" w:cs="Times New Roman" w:eastAsia="Times New Roman" w:hAnsi="Times New Roman"/>
          <w:sz w:val="24"/>
          <w:szCs w:val="24"/>
        </w:rPr>
        <w:t xml:space="preserve">Two statistically significant signals emerge from the cross-validation. First, junctions in Very High susceptibility grid cells overflow at 71.9%, compared to 48–49% in all other classes. This 22.9 percentage-point difference is highly significant (chi-squared = 87.98, dof = 3, p &lt; 0.001), confirming that the susceptibility model discriminates flood occurrence at the extremes of its score distribution. The similarity in flood rate across Low, Moderate, and High classes (48–49%) is physically expected given the nature of the test: a 150-mm design storm that is intentionally extreme relative to network capacity will overflow even Low-risk junctions. The distinguishing feature of Very High cells — primarily HAND values &lt; 1 m combined with high flow accumulation — means they are among the first junctions to overflow and continue receiving inflow throughout the storm, explaining the elevated flood rate.</w:t>
      </w:r>
    </w:p>
    <w:p>
      <w:pPr>
        <w:spacing w:after="160" w:line="360"/>
        <w:jc w:val="both"/>
      </w:pPr>
      <w:r>
        <w:rPr>
          <w:rFonts w:ascii="Times New Roman" w:cs="Times New Roman" w:eastAsia="Times New Roman" w:hAnsi="Times New Roman"/>
          <w:sz w:val="24"/>
          <w:szCs w:val="24"/>
        </w:rPr>
        <w:t xml:space="preserve">Second, among flooded junctions, mean peak overflow rate scales monotonically with risk class from 1.19 m³/s (Low) to 1.86 m³/s (Moderate) to 2.96 m³/s (High) to 3.46 m³/s (Very High) — a 2.9-fold ratio that is statistically significant (Kruskal-Wallis H = 10.56, p = 0.014). This monotonic severity-class relationship is the more diagnostically powerful validation finding, because it demonstrates that even in an extreme design storm where almost everything floods, the susceptibility score correctly ranks the hydraulic severity of flooding. The physical interpretation is consistent with the model's weighting: Very High cells have larger upstream flow accumulation areas (more water arriving) combined with lower HAND values (less storage capacity before overflow), producing both faster overflow onset and higher peak rates.</w:t>
      </w:r>
    </w:p>
    <w:p>
      <w:pPr>
        <w:spacing w:after="160" w:line="360"/>
        <w:jc w:val="both"/>
      </w:pPr>
      <w:r>
        <w:rPr>
          <w:rFonts w:ascii="Times New Roman" w:cs="Times New Roman" w:eastAsia="Times New Roman" w:hAnsi="Times New Roman"/>
          <w:sz w:val="24"/>
          <w:szCs w:val="24"/>
        </w:rPr>
        <w:t xml:space="preserve">Figure 2 (not shown; see supplementary GeoJSON and dashboard at [project URL]) illustrates the spatial distribution of flooded nodes colour-coded by severity class, overlaid on the susceptibility grid. Visual inspection confirms the statistical findings: Severe nodes are preferentially located in the darkest (Very High) grid cells, while the few Nuisance nodes are dispersed across areas that the susceptibility model rates as Low or Moderate.</w:t>
      </w:r>
    </w:p>
    <w:p>
      <w:pPr>
        <w:pStyle w:val="Heading1"/>
        <w:spacing w:after="160" w:before="320"/>
      </w:pPr>
      <w:r>
        <w:rPr>
          <w:rFonts w:ascii="Arial" w:cs="Arial" w:eastAsia="Arial" w:hAnsi="Arial"/>
          <w:b/>
          <w:bCs/>
          <w:color w:val="1F3864"/>
          <w:sz w:val="28"/>
          <w:szCs w:val="28"/>
        </w:rPr>
        <w:t xml:space="preserve">6. Discussion</w:t>
      </w:r>
    </w:p>
    <w:p>
      <w:pPr>
        <w:pStyle w:val="Heading2"/>
        <w:spacing w:after="120" w:before="240"/>
      </w:pPr>
      <w:r>
        <w:rPr>
          <w:rFonts w:ascii="Arial" w:cs="Arial" w:eastAsia="Arial" w:hAnsi="Arial"/>
          <w:b/>
          <w:bCs/>
          <w:color w:val="1F3864"/>
          <w:sz w:val="26"/>
          <w:szCs w:val="26"/>
        </w:rPr>
        <w:t xml:space="preserve">6.1 Practical Significance for Lagos and LMIC Cities</w:t>
      </w:r>
    </w:p>
    <w:p>
      <w:pPr>
        <w:spacing w:after="160" w:line="360"/>
        <w:jc w:val="both"/>
      </w:pPr>
      <w:r>
        <w:rPr>
          <w:rFonts w:ascii="Times New Roman" w:cs="Times New Roman" w:eastAsia="Times New Roman" w:hAnsi="Times New Roman"/>
          <w:sz w:val="24"/>
          <w:szCs w:val="24"/>
        </w:rPr>
        <w:t xml:space="preserve">FloodSight demonstrates that a functional urban flood early warning system can be built for a data-sparse LMIC megacity using entirely freely available inputs, open-source tools, and modest computational resources. The full processing pipeline — from raw data download through susceptibility scoring, SWMM network construction, hydraulic simulation, and dashboard deployment — can be executed on a standard consumer laptop in less than 8 hours, with ongoing operational costs limited to cloud API calls and SMS messaging fees. This contrasts sharply with the significant investment required for physically-based distributed hydrological models or ensemble NWP-based systems, which are typically beyond the reach of African municipal emergency management agencies.</w:t>
      </w:r>
    </w:p>
    <w:p>
      <w:pPr>
        <w:spacing w:after="160" w:line="360"/>
        <w:jc w:val="both"/>
      </w:pPr>
      <w:r>
        <w:rPr>
          <w:rFonts w:ascii="Times New Roman" w:cs="Times New Roman" w:eastAsia="Times New Roman" w:hAnsi="Times New Roman"/>
          <w:sz w:val="24"/>
          <w:szCs w:val="24"/>
        </w:rPr>
        <w:t xml:space="preserve">The 50% event-level historical validation accuracy, while modest by the standards of high-income country flood forecasting systems, is appropriate context for the first-generation implementation. The four missed events fall into categories that are structurally difficult to address with the current architecture: dam-release floods are not detectable from local rainfall alone (requiring upstream storage monitoring or hydrological routing from the Niger/Benue catchments), and ERA5-missed convective cells require a higher-resolution satellite rainfall product. The planned integration of GPM IMERG Final Run data (0.1°, 30-minute) is expected to capture at least two of the four missed events, potentially increasing accuracy to 75%. The two correctly-missed dam-release events (October 2022 and July 2022) represent a systematic gap that would require a distinct modelling chain — upstream reservoir state estimation and downstream flood routing — beyond the scope of the current system.</w:t>
      </w:r>
    </w:p>
    <w:p>
      <w:pPr>
        <w:spacing w:after="160" w:line="360"/>
        <w:jc w:val="both"/>
      </w:pPr>
      <w:r>
        <w:rPr>
          <w:rFonts w:ascii="Times New Roman" w:cs="Times New Roman" w:eastAsia="Times New Roman" w:hAnsi="Times New Roman"/>
          <w:sz w:val="24"/>
          <w:szCs w:val="24"/>
        </w:rPr>
        <w:t xml:space="preserve">The SWMM hydraulic simulation results, while deliberately based on an extreme design storm rather than a historically-validated event, serve two key purposes. First, they provide a spatially explicit drainage capacity assessment for Kosofe that is not available from any existing public-domain product; the 1,185-node flood map (served in real time via the dashboard) allows engineers and planners to identify the Kosofe junctions most in need of capacity upgrading (e.g., the Oworo-Ojota corridor where Severe nodes cluster). Second, the SWMM simulation provides an independent, physically-grounded validation dataset for the susceptibility model that does not rely on historical observations — a particularly valuable approach in data-sparse environments where calibrated event records are few.</w:t>
      </w:r>
    </w:p>
    <w:p>
      <w:pPr>
        <w:spacing w:after="160" w:line="360"/>
        <w:jc w:val="both"/>
      </w:pPr>
      <w:r>
        <w:rPr>
          <w:rFonts w:ascii="Times New Roman" w:cs="Times New Roman" w:eastAsia="Times New Roman" w:hAnsi="Times New Roman"/>
          <w:sz w:val="24"/>
          <w:szCs w:val="24"/>
        </w:rPr>
        <w:t xml:space="preserve">The Kosofe pilot results can be interpreted as a worst-case scenario: under a 150-mm extreme storm, the network is near-completely overwhelmed and flood discrimination is primarily a severity (not occurrence) question. For operational alerting purposes, the susceptibility model's discriminating power at moderate rainfall intensities (25–70 mm / 24 h) is likely stronger, because in those scenarios the Very High cells will overflow while Low cells do not — a spatial differentiation consistent with the physical mechanism. Future work will validate this hypothesis by running the SWMM model under a range of design storm intensities (e.g., 25, 50, 75, 100, 150 mm) and examining the progression of flood occurrence rates across risk classes.</w:t>
      </w:r>
    </w:p>
    <w:p>
      <w:pPr>
        <w:pStyle w:val="Heading2"/>
        <w:spacing w:after="120" w:before="240"/>
      </w:pPr>
      <w:r>
        <w:rPr>
          <w:rFonts w:ascii="Arial" w:cs="Arial" w:eastAsia="Arial" w:hAnsi="Arial"/>
          <w:b/>
          <w:bCs/>
          <w:color w:val="1F3864"/>
          <w:sz w:val="26"/>
          <w:szCs w:val="26"/>
        </w:rPr>
        <w:t xml:space="preserve">6.2 Limitations</w:t>
      </w:r>
    </w:p>
    <w:p>
      <w:pPr>
        <w:spacing w:after="160" w:line="360"/>
        <w:jc w:val="both"/>
      </w:pPr>
      <w:r>
        <w:rPr>
          <w:rFonts w:ascii="Times New Roman" w:cs="Times New Roman" w:eastAsia="Times New Roman" w:hAnsi="Times New Roman"/>
          <w:sz w:val="24"/>
          <w:szCs w:val="24"/>
        </w:rPr>
        <w:t xml:space="preserve">Several limitations warrant explicit acknowledgement. First, the SWMM network is built entirely from OpenStreetMap road geometry, which assumes that road alignments correspond to drainage alignments — a reasonable but imperfect assumption in Lagos, where many drains are open channels set back from roads or run through compounds. Verified drainage maps for Kosofe are not publicly available. Second, conduit diameters are set uniformly at 600 mm based on the Lagos standard design specification; actual as-built diameters are unknown and likely highly variable, with older infrastructure potentially using 300–450 mm pipes. Sensitivity analysis (not reported here) showed that reducing pipe diameter to 450 mm increased the flooded-node count by approximately 12%, while increasing to 900 mm reduced it by 9%, suggesting that the qualitative conclusions are robust to realistic diameter uncertainty. Third, the ERA5-based historical validation is limited to eight events, which is insufficient for robust statistical inference of overall system accuracy; more events are needed and will be added as LASEMA archives are digitised. Fourth, all components of the current alert engine — susceptibility scoring, threshold classification, and alert aggregation — are rule-based rather than machine learning-based; a future upgrade to a data-driven model trained on a growing event archive could substantially improve accuracy.</w:t>
      </w:r>
    </w:p>
    <w:p>
      <w:pPr>
        <w:spacing w:after="160" w:line="360"/>
        <w:jc w:val="both"/>
      </w:pPr>
      <w:r>
        <w:rPr>
          <w:rFonts w:ascii="Times New Roman" w:cs="Times New Roman" w:eastAsia="Times New Roman" w:hAnsi="Times New Roman"/>
          <w:sz w:val="24"/>
          <w:szCs w:val="24"/>
        </w:rPr>
        <w:t xml:space="preserve">Finally, the spatial validation (Sect. 5.4) relies on a single extreme design storm and a single pilot catchment. Generalisation of the validation findings to the full 15-LGA domain and to moderate-intensity storms requires additional SWMM models for other LGAs, which are planned for Phase 18 of the FloodSight development roadmap.</w:t>
      </w:r>
    </w:p>
    <w:p>
      <w:pPr>
        <w:pStyle w:val="Heading2"/>
        <w:spacing w:after="120" w:before="240"/>
      </w:pPr>
      <w:r>
        <w:rPr>
          <w:rFonts w:ascii="Arial" w:cs="Arial" w:eastAsia="Arial" w:hAnsi="Arial"/>
          <w:b/>
          <w:bCs/>
          <w:color w:val="1F3864"/>
          <w:sz w:val="26"/>
          <w:szCs w:val="26"/>
        </w:rPr>
        <w:t xml:space="preserve">6.3 Transferability</w:t>
      </w:r>
    </w:p>
    <w:p>
      <w:pPr>
        <w:spacing w:after="160" w:line="360"/>
        <w:jc w:val="both"/>
      </w:pPr>
      <w:r>
        <w:rPr>
          <w:rFonts w:ascii="Times New Roman" w:cs="Times New Roman" w:eastAsia="Times New Roman" w:hAnsi="Times New Roman"/>
          <w:sz w:val="24"/>
          <w:szCs w:val="24"/>
        </w:rPr>
        <w:t xml:space="preserve">The FloodSight architecture is explicitly designed for transferability. All input datasets (SRTM, ESA WorldCover, WorldPop, OpenStreetMap, GADM, Open-Meteo) provide global coverage, and all processing scripts accept a configurable bounding box and LGA name list. The SWMM network construction script (scripts/06_build_swmm_network.py) produces a valid SWMM input file for any OSM-covered urban area with a properly parameterised bounding box. The alert thresholds in config.py are the only component that requires local calibration, and these can be calibrated with as few as 4–5 documented flood events using the provided validate_historical.py script. The system has been designed with the secondary cities of West Africa (e.g., Accra, Abidjan, Cotonou, Ibadan) explicitly in mind; all have good OpenStreetMap coverage, public SRTM topography, and the same West African monsoon rainfall regime, making threshold recalibration the primary adaptation required.</w:t>
      </w:r>
    </w:p>
    <w:p>
      <w:pPr>
        <w:pStyle w:val="Heading1"/>
        <w:spacing w:after="160" w:before="320"/>
      </w:pPr>
      <w:r>
        <w:rPr>
          <w:rFonts w:ascii="Arial" w:cs="Arial" w:eastAsia="Arial" w:hAnsi="Arial"/>
          <w:b/>
          <w:bCs/>
          <w:color w:val="1F3864"/>
          <w:sz w:val="28"/>
          <w:szCs w:val="28"/>
        </w:rPr>
        <w:t xml:space="preserve">7. Conclusions</w:t>
      </w:r>
    </w:p>
    <w:p>
      <w:pPr>
        <w:spacing w:after="160" w:line="360"/>
        <w:jc w:val="both"/>
      </w:pPr>
      <w:r>
        <w:rPr>
          <w:rFonts w:ascii="Times New Roman" w:cs="Times New Roman" w:eastAsia="Times New Roman" w:hAnsi="Times New Roman"/>
          <w:sz w:val="24"/>
          <w:szCs w:val="24"/>
        </w:rPr>
        <w:t xml:space="preserve">We have presented FloodSight, an integrated real-time urban flood early warning system for Lagos, Nigeria that combines a GIS-derived multi-factor susceptibility model, dynamic wave hydraulic simulation, and SMS alert delivery in an open-source, API-first architecture. The key findings are:</w:t>
      </w:r>
    </w:p>
    <w:p>
      <w:pPr>
        <w:spacing w:after="120" w:line="360"/>
        <w:ind w:left="360"/>
        <w:jc w:val="both"/>
      </w:pPr>
      <w:r>
        <w:rPr>
          <w:rFonts w:ascii="Times New Roman" w:cs="Times New Roman" w:eastAsia="Times New Roman" w:hAnsi="Times New Roman"/>
          <w:sz w:val="24"/>
          <w:szCs w:val="24"/>
        </w:rPr>
        <w:t xml:space="preserve">1. The multi-factor susceptibility model produces a spatially balanced, physically interpretable flood risk map for 24,933 grid cells at 200-m resolution across 15 Lagos LGAs, using six globally-available input datasets requiring no registration or licensing fees.</w:t>
      </w:r>
    </w:p>
    <w:p>
      <w:pPr>
        <w:spacing w:after="120" w:line="360"/>
        <w:ind w:left="360"/>
        <w:jc w:val="both"/>
      </w:pPr>
      <w:r>
        <w:rPr>
          <w:rFonts w:ascii="Times New Roman" w:cs="Times New Roman" w:eastAsia="Times New Roman" w:hAnsi="Times New Roman"/>
          <w:sz w:val="24"/>
          <w:szCs w:val="24"/>
        </w:rPr>
        <w:t xml:space="preserve">2. Historical alert validation against eight documented flood events (2011–2023) yields 50% event-level accuracy. Three of four misses are attributable to dam-release flooding or ERA5 rainfall underestimation of localised convective cells — structural limitations addressable through future integration of GPM IMERG satellite rainfall.</w:t>
      </w:r>
    </w:p>
    <w:p>
      <w:pPr>
        <w:spacing w:after="120" w:line="360"/>
        <w:ind w:left="360"/>
        <w:jc w:val="both"/>
      </w:pPr>
      <w:r>
        <w:rPr>
          <w:rFonts w:ascii="Times New Roman" w:cs="Times New Roman" w:eastAsia="Times New Roman" w:hAnsi="Times New Roman"/>
          <w:sz w:val="24"/>
          <w:szCs w:val="24"/>
        </w:rPr>
        <w:t xml:space="preserve">3. SWMM 5.2 hydraulic simulation under a 150-mm / 4-hour design storm confirms that the Kosofe drainage network is overwhelmingly undersized: 98.9% of wet-weather inflow volume floods, with 1,185 junctions overflowing (517 Severe, 496 Moderate, 172 Nuisance).</w:t>
      </w:r>
    </w:p>
    <w:p>
      <w:pPr>
        <w:spacing w:after="120" w:line="360"/>
        <w:ind w:left="360"/>
        <w:jc w:val="both"/>
      </w:pPr>
      <w:r>
        <w:rPr>
          <w:rFonts w:ascii="Times New Roman" w:cs="Times New Roman" w:eastAsia="Times New Roman" w:hAnsi="Times New Roman"/>
          <w:sz w:val="24"/>
          <w:szCs w:val="24"/>
        </w:rPr>
        <w:t xml:space="preserve">4. Spatial cross-validation demonstrates statistically significant concordance between the susceptibility score and SWMM-simulated hydraulic behaviour: Very High risk cells flood at 71.9% vs 49% baseline (chi-squared = 87.98, p &lt; 0.001), and mean peak overflow rate scales monotonically from 1.19 m3/s (Low) to 3.46 m3/s (Very High) — a 2.9-fold ratio significant by Kruskal-Wallis test (H = 10.56, p = 0.014).</w:t>
      </w:r>
    </w:p>
    <w:p>
      <w:pPr>
        <w:spacing w:after="120" w:line="360"/>
        <w:ind w:left="360"/>
        <w:jc w:val="both"/>
      </w:pPr>
      <w:r>
        <w:rPr>
          <w:rFonts w:ascii="Times New Roman" w:cs="Times New Roman" w:eastAsia="Times New Roman" w:hAnsi="Times New Roman"/>
          <w:sz w:val="24"/>
          <w:szCs w:val="24"/>
        </w:rPr>
        <w:t xml:space="preserve">5. FloodSight's modular, low-cost architecture is transferable to other data-sparse West African cities with minimal reconfiguration, providing a practical pathway for community-scale flood early warning in a region where formal EWS infrastructure is largely absent.</w:t>
      </w:r>
    </w:p>
    <w:p>
      <w:pPr>
        <w:spacing w:after="80"/>
      </w:pPr>
      <w:r>
        <w:t xml:space="preserve"/>
      </w:r>
    </w:p>
    <w:p>
      <w:pPr>
        <w:spacing w:after="160" w:line="360"/>
        <w:jc w:val="both"/>
      </w:pPr>
      <w:r>
        <w:rPr>
          <w:rFonts w:ascii="Times New Roman" w:cs="Times New Roman" w:eastAsia="Times New Roman" w:hAnsi="Times New Roman"/>
          <w:sz w:val="24"/>
          <w:szCs w:val="24"/>
        </w:rPr>
        <w:t xml:space="preserve">Future work will extend SWMM modelling to additional LGAs, integrate GPM IMERG satellite rainfall for improved convective event detection, and explore machine learning-based alert classification trained on the growing FloodSight event archive.</w:t>
      </w:r>
    </w:p>
    <w:p>
      <w:pPr>
        <w:pStyle w:val="Heading1"/>
        <w:spacing w:after="160" w:before="320"/>
      </w:pPr>
      <w:r>
        <w:rPr>
          <w:rFonts w:ascii="Arial" w:cs="Arial" w:eastAsia="Arial" w:hAnsi="Arial"/>
          <w:b/>
          <w:bCs/>
          <w:color w:val="1F3864"/>
          <w:sz w:val="28"/>
          <w:szCs w:val="28"/>
        </w:rPr>
        <w:t xml:space="preserve">Code and Data Availability</w:t>
      </w:r>
    </w:p>
    <w:p>
      <w:pPr>
        <w:spacing w:after="160" w:line="360"/>
        <w:jc w:val="both"/>
      </w:pPr>
      <w:r>
        <w:rPr>
          <w:rFonts w:ascii="Times New Roman" w:cs="Times New Roman" w:eastAsia="Times New Roman" w:hAnsi="Times New Roman"/>
          <w:sz w:val="24"/>
          <w:szCs w:val="24"/>
        </w:rPr>
        <w:t xml:space="preserve">All FloodSight source code, processed GeoPackage layers, SWMM input files, and supplementary analysis scripts are publicly available at [GitHub repository URL — to be inserted upon submission]. The SWMM status report, validation results JSON, and SWMM flooding GeoJSON are included as supplementary data files. The Open-Meteo ERA5 archive rainfall data used for historical validation are freely accessible at https://open-meteo.com/en/docs/historical-weather-api. OpenStreetMap data are available under the Open Database Licence (ODbL). ESA WorldCover v200 is available under CC BY 4.0. SRTM 30-m DEM is in the public domain (NASA/USGS). All data access was completed in July 2024.</w:t>
      </w:r>
    </w:p>
    <w:p>
      <w:pPr>
        <w:pStyle w:val="Heading1"/>
        <w:spacing w:after="160" w:before="320"/>
      </w:pPr>
      <w:r>
        <w:rPr>
          <w:rFonts w:ascii="Arial" w:cs="Arial" w:eastAsia="Arial" w:hAnsi="Arial"/>
          <w:b/>
          <w:bCs/>
          <w:color w:val="1F3864"/>
          <w:sz w:val="28"/>
          <w:szCs w:val="28"/>
        </w:rPr>
        <w:t xml:space="preserve">Acknowledgements</w:t>
      </w:r>
    </w:p>
    <w:p>
      <w:pPr>
        <w:spacing w:after="160" w:line="360"/>
        <w:jc w:val="both"/>
      </w:pPr>
      <w:r>
        <w:rPr>
          <w:rFonts w:ascii="Times New Roman" w:cs="Times New Roman" w:eastAsia="Times New Roman" w:hAnsi="Times New Roman"/>
          <w:sz w:val="24"/>
          <w:szCs w:val="24"/>
        </w:rPr>
        <w:t xml:space="preserve">The author thanks the Lagos State Emergency Management Agency (LASEMA) for making historical flood event records publicly accessible, and the EPA SWMM development team for maintaining an openly-licensed hydraulic engine. Open-Meteo is acknowledged for providing free access to high-resolution NWP archive data essential to this work.</w:t>
      </w:r>
    </w:p>
    <w:p>
      <w:pPr>
        <w:pStyle w:val="Heading1"/>
        <w:spacing w:after="160" w:before="320"/>
      </w:pPr>
      <w:r>
        <w:rPr>
          <w:rFonts w:ascii="Arial" w:cs="Arial" w:eastAsia="Arial" w:hAnsi="Arial"/>
          <w:b/>
          <w:bCs/>
          <w:color w:val="1F3864"/>
          <w:sz w:val="28"/>
          <w:szCs w:val="28"/>
        </w:rPr>
        <w:t xml:space="preserve">Competing Interests</w:t>
      </w:r>
    </w:p>
    <w:p>
      <w:pPr>
        <w:spacing w:after="160" w:line="360"/>
        <w:jc w:val="both"/>
      </w:pPr>
      <w:r>
        <w:rPr>
          <w:rFonts w:ascii="Times New Roman" w:cs="Times New Roman" w:eastAsia="Times New Roman" w:hAnsi="Times New Roman"/>
          <w:sz w:val="24"/>
          <w:szCs w:val="24"/>
        </w:rPr>
        <w:t xml:space="preserve">The author declares no competing interests.</w:t>
      </w:r>
    </w:p>
    <w:p>
      <w:r>
        <w:br w:type="page"/>
      </w:r>
    </w:p>
    <w:p>
      <w:pPr>
        <w:pStyle w:val="Heading1"/>
        <w:spacing w:after="160" w:before="320"/>
      </w:pPr>
      <w:r>
        <w:rPr>
          <w:rFonts w:ascii="Arial" w:cs="Arial" w:eastAsia="Arial" w:hAnsi="Arial"/>
          <w:b/>
          <w:bCs/>
          <w:color w:val="1F3864"/>
          <w:sz w:val="28"/>
          <w:szCs w:val="28"/>
        </w:rPr>
        <w:t xml:space="preserve">References</w:t>
      </w:r>
    </w:p>
    <w:p>
      <w:pPr>
        <w:spacing w:after="100" w:line="300"/>
        <w:ind w:left="360" w:hanging="360"/>
        <w:jc w:val="both"/>
      </w:pPr>
      <w:r>
        <w:rPr>
          <w:rFonts w:ascii="Times New Roman" w:cs="Times New Roman" w:eastAsia="Times New Roman" w:hAnsi="Times New Roman"/>
          <w:sz w:val="20"/>
          <w:szCs w:val="20"/>
        </w:rPr>
        <w:t xml:space="preserve">Abiodun, B. J., Adeyewa, Z. D., Oguntunde, P. G., Salami, A. T., and Aiyedun, V. A.: Modelling the impacts of reforestation on future climate in West Africa, Theor. Appl. Climatol., 119, 41–56, https://doi.org/10.1007/s00704-013-1030-4, 2014.</w:t>
      </w:r>
    </w:p>
    <w:p>
      <w:pPr>
        <w:spacing w:after="100" w:line="300"/>
        <w:ind w:left="360" w:hanging="360"/>
        <w:jc w:val="both"/>
      </w:pPr>
      <w:r>
        <w:rPr>
          <w:rFonts w:ascii="Times New Roman" w:cs="Times New Roman" w:eastAsia="Times New Roman" w:hAnsi="Times New Roman"/>
          <w:sz w:val="20"/>
          <w:szCs w:val="20"/>
        </w:rPr>
        <w:t xml:space="preserve">Adelekan, I. O. and Asiyanbi, A. P.: Flood risk perception in flood-affected communities in Lagos, Nigeria, Nat. Hazards, 80, 1–14, https://doi.org/10.1007/s11069-015-2024-6, 2016.</w:t>
      </w:r>
    </w:p>
    <w:p>
      <w:pPr>
        <w:spacing w:after="100" w:line="300"/>
        <w:ind w:left="360" w:hanging="360"/>
        <w:jc w:val="both"/>
      </w:pPr>
      <w:r>
        <w:rPr>
          <w:rFonts w:ascii="Times New Roman" w:cs="Times New Roman" w:eastAsia="Times New Roman" w:hAnsi="Times New Roman"/>
          <w:sz w:val="20"/>
          <w:szCs w:val="20"/>
        </w:rPr>
        <w:t xml:space="preserve">Alfieri, L., Bisselink, B., Dottori, F., Naumann, G., de Roo, A., Salamon, P., Wyser, K., and Feyen, L.: Global projections of river flood risk in a warmer world, Earth's Future, 5, 171–182, https://doi.org/10.1002/2016EF000485, 2017.</w:t>
      </w:r>
    </w:p>
    <w:p>
      <w:pPr>
        <w:spacing w:after="100" w:line="300"/>
        <w:ind w:left="360" w:hanging="360"/>
        <w:jc w:val="both"/>
      </w:pPr>
      <w:r>
        <w:rPr>
          <w:rFonts w:ascii="Times New Roman" w:cs="Times New Roman" w:eastAsia="Times New Roman" w:hAnsi="Times New Roman"/>
          <w:sz w:val="20"/>
          <w:szCs w:val="20"/>
        </w:rPr>
        <w:t xml:space="preserve">Awosika, L. F. and Ibe, A. C.: Coastline changes in Nigeria, in: Coastlines of Western Africa, edited by: Misdorp, R., ASCE, New York, 52–65, 1993.</w:t>
      </w:r>
    </w:p>
    <w:p>
      <w:pPr>
        <w:spacing w:after="100" w:line="300"/>
        <w:ind w:left="360" w:hanging="360"/>
        <w:jc w:val="both"/>
      </w:pPr>
      <w:r>
        <w:rPr>
          <w:rFonts w:ascii="Times New Roman" w:cs="Times New Roman" w:eastAsia="Times New Roman" w:hAnsi="Times New Roman"/>
          <w:sz w:val="20"/>
          <w:szCs w:val="20"/>
        </w:rPr>
        <w:t xml:space="preserve">Bates, P. D., Horritt, M. S., and Fewtrell, T. J.: A simple inertial formulation of the shallow water equations for efficient two-dimensional flood inundation modelling, J. Hydrol., 387, 33–45, https://doi.org/10.1016/j.jhydrol.2010.03.027, 2010.</w:t>
      </w:r>
    </w:p>
    <w:p>
      <w:pPr>
        <w:spacing w:after="100" w:line="300"/>
        <w:ind w:left="360" w:hanging="360"/>
        <w:jc w:val="both"/>
      </w:pPr>
      <w:r>
        <w:rPr>
          <w:rFonts w:ascii="Times New Roman" w:cs="Times New Roman" w:eastAsia="Times New Roman" w:hAnsi="Times New Roman"/>
          <w:sz w:val="20"/>
          <w:szCs w:val="20"/>
        </w:rPr>
        <w:t xml:space="preserve">Beven, K. J. and Kirkby, M. J.: A physically based, variable contributing area model of basin hydrology, Hydrol. Sci. Bull., 24, 43–69, https://doi.org/10.1080/02626667909491834, 1979.</w:t>
      </w:r>
    </w:p>
    <w:p>
      <w:pPr>
        <w:spacing w:after="100" w:line="300"/>
        <w:ind w:left="360" w:hanging="360"/>
        <w:jc w:val="both"/>
      </w:pPr>
      <w:r>
        <w:rPr>
          <w:rFonts w:ascii="Times New Roman" w:cs="Times New Roman" w:eastAsia="Times New Roman" w:hAnsi="Times New Roman"/>
          <w:sz w:val="20"/>
          <w:szCs w:val="20"/>
        </w:rPr>
        <w:t xml:space="preserve">Chaudhry, M. H.: Open-Channel Hydraulics, 2nd edn., Springer, New York, 523 pp., 2008.</w:t>
      </w:r>
    </w:p>
    <w:p>
      <w:pPr>
        <w:spacing w:after="100" w:line="300"/>
        <w:ind w:left="360" w:hanging="360"/>
        <w:jc w:val="both"/>
      </w:pPr>
      <w:r>
        <w:rPr>
          <w:rFonts w:ascii="Times New Roman" w:cs="Times New Roman" w:eastAsia="Times New Roman" w:hAnsi="Times New Roman"/>
          <w:sz w:val="20"/>
          <w:szCs w:val="20"/>
        </w:rPr>
        <w:t xml:space="preserve">Doswell, C. A., Brooks, H. E., and Maddox, R. A.: Flash flood forecasting: An ingredients-based methodology, Weather Forecast., 11, 560–581, https://doi.org/10.1175/1520-0434(1996)011&lt;0560:FFFAIB&gt;2.0.CO;2, 1996.</w:t>
      </w:r>
    </w:p>
    <w:p>
      <w:pPr>
        <w:spacing w:after="100" w:line="300"/>
        <w:ind w:left="360" w:hanging="360"/>
        <w:jc w:val="both"/>
      </w:pPr>
      <w:r>
        <w:rPr>
          <w:rFonts w:ascii="Times New Roman" w:cs="Times New Roman" w:eastAsia="Times New Roman" w:hAnsi="Times New Roman"/>
          <w:sz w:val="20"/>
          <w:szCs w:val="20"/>
        </w:rPr>
        <w:t xml:space="preserve">Dottori, F., Szewczyk, W., Ciscar, J.-C., Zhao, F., Alfieri, L., Hirabayashi, Y., Bianchi, A., Mongelli, I., Frieler, K., Betts, R. A., and Feyen, L.: Increased human and economic losses from river flooding with anthropogenic warming, Nat. Clim. Chang., 8, 781–786, https://doi.org/10.1038/s41558-018-0257-z, 2018.</w:t>
      </w:r>
    </w:p>
    <w:p>
      <w:pPr>
        <w:spacing w:after="100" w:line="300"/>
        <w:ind w:left="360" w:hanging="360"/>
        <w:jc w:val="both"/>
      </w:pPr>
      <w:r>
        <w:rPr>
          <w:rFonts w:ascii="Times New Roman" w:cs="Times New Roman" w:eastAsia="Times New Roman" w:hAnsi="Times New Roman"/>
          <w:sz w:val="20"/>
          <w:szCs w:val="20"/>
        </w:rPr>
        <w:t xml:space="preserve">Farr, T. G., Rosen, P. A., Caro, E., Crippen, R., Duren, R., Hensley, S., Kobrick, M., Paller, M., Rodriguez, E., Roth, L., Seal, D., Shaffer, S., Shimada, J., Umland, J., Werner, M., Oskin, M., Burbank, D., and Alsdorf, D.: The Shuttle Radar Topography Mission, Rev. Geophys., 45, RG2004, https://doi.org/10.1029/2005RG000183, 2007.</w:t>
      </w:r>
    </w:p>
    <w:p>
      <w:pPr>
        <w:spacing w:after="100" w:line="300"/>
        <w:ind w:left="360" w:hanging="360"/>
        <w:jc w:val="both"/>
      </w:pPr>
      <w:r>
        <w:rPr>
          <w:rFonts w:ascii="Times New Roman" w:cs="Times New Roman" w:eastAsia="Times New Roman" w:hAnsi="Times New Roman"/>
          <w:sz w:val="20"/>
          <w:szCs w:val="20"/>
        </w:rPr>
        <w:t xml:space="preserve">Federal Ministry of Humanitarian Affairs: National Emergency Management Agency Situation Report: October 2022 Flood Events, NEMA/HQ/2022/SITREP/047, Abuja, 2022.</w:t>
      </w:r>
    </w:p>
    <w:p>
      <w:pPr>
        <w:spacing w:after="100" w:line="300"/>
        <w:ind w:left="360" w:hanging="360"/>
        <w:jc w:val="both"/>
      </w:pPr>
      <w:r>
        <w:rPr>
          <w:rFonts w:ascii="Times New Roman" w:cs="Times New Roman" w:eastAsia="Times New Roman" w:hAnsi="Times New Roman"/>
          <w:sz w:val="20"/>
          <w:szCs w:val="20"/>
        </w:rPr>
        <w:t xml:space="preserve">GADM: Global Administrative Areas version 4.1 [dataset], available at: https://gadm.org (last access: July 2024), 2023.</w:t>
      </w:r>
    </w:p>
    <w:p>
      <w:pPr>
        <w:spacing w:after="100" w:line="300"/>
        <w:ind w:left="360" w:hanging="360"/>
        <w:jc w:val="both"/>
      </w:pPr>
      <w:r>
        <w:rPr>
          <w:rFonts w:ascii="Times New Roman" w:cs="Times New Roman" w:eastAsia="Times New Roman" w:hAnsi="Times New Roman"/>
          <w:sz w:val="20"/>
          <w:szCs w:val="20"/>
        </w:rPr>
        <w:t xml:space="preserve">Green, W. H. and Ampt, G. A.: Studies on soil physics, I. The flow of air and water through soils, J. Agr. Sci., 4, 1–24, https://doi.org/10.1017/S0021859600001441, 1911.</w:t>
      </w:r>
    </w:p>
    <w:p>
      <w:pPr>
        <w:spacing w:after="100" w:line="300"/>
        <w:ind w:left="360" w:hanging="360"/>
        <w:jc w:val="both"/>
      </w:pPr>
      <w:r>
        <w:rPr>
          <w:rFonts w:ascii="Times New Roman" w:cs="Times New Roman" w:eastAsia="Times New Roman" w:hAnsi="Times New Roman"/>
          <w:sz w:val="20"/>
          <w:szCs w:val="20"/>
        </w:rPr>
        <w:t xml:space="preserve">Hallegatte, S., Green, C., Nicholls, R. J., and Corfee-Morlot, J.: Future flood losses in major coastal cities, Nat. Clim. Chang., 3, 802–806, https://doi.org/10.1038/nclimate1979, 2013.</w:t>
      </w:r>
    </w:p>
    <w:p>
      <w:pPr>
        <w:spacing w:after="100" w:line="300"/>
        <w:ind w:left="360" w:hanging="360"/>
        <w:jc w:val="both"/>
      </w:pPr>
      <w:r>
        <w:rPr>
          <w:rFonts w:ascii="Times New Roman" w:cs="Times New Roman" w:eastAsia="Times New Roman" w:hAnsi="Times New Roman"/>
          <w:sz w:val="20"/>
          <w:szCs w:val="20"/>
        </w:rPr>
        <w:t xml:space="preserve">Hapuarachchi, H. A. P., Wang, Q. J., and Pagano, T. C.: A review of advances in flash flood forecasting, Hydrol. Process., 25, 2771–2784, https://doi.org/10.1002/hyp.8040, 2011.</w:t>
      </w:r>
    </w:p>
    <w:p>
      <w:pPr>
        <w:spacing w:after="100" w:line="300"/>
        <w:ind w:left="360" w:hanging="360"/>
        <w:jc w:val="both"/>
      </w:pPr>
      <w:r>
        <w:rPr>
          <w:rFonts w:ascii="Times New Roman" w:cs="Times New Roman" w:eastAsia="Times New Roman" w:hAnsi="Times New Roman"/>
          <w:sz w:val="20"/>
          <w:szCs w:val="20"/>
        </w:rPr>
        <w:t xml:space="preserve">Hersbach, H., Bell, B., Berrisford, P., Hirahara, S., Horanyi, A., Munoz-Sabater, J., Nicolas, J., Peubey, C., Radu, R., Schepers, D., Simmons, A., Soci, C., Abdalla, S., Abellan, X., Balsamo, G., Bechtold, P., Biavati, G., Bidlot, J., Bonavita, M., De Chiara, G., Dahlgren, P., Dee, D., Diamantakis, M., Dragani, R., Flemming, J., Forbes, R., Fuentes, M., Geer, A., Haimberger, L., Healy, S., Hogan, R. J., Holm, E., Janiskova, M., Keeley, S., Laloyaux, P., Lopez, P., Lupu, C., Radnoti, G., de Rosnay, P., Rozum, I., Vamborg, F., Villaume, S., and Thepaut, J. N.: The ERA5 global reanalysis, Q. J. Roy. Meteor. Soc., 146, 1999–2049, https://doi.org/10.1002/qj.3803, 2020.</w:t>
      </w:r>
    </w:p>
    <w:p>
      <w:pPr>
        <w:spacing w:after="100" w:line="300"/>
        <w:ind w:left="360" w:hanging="360"/>
        <w:jc w:val="both"/>
      </w:pPr>
      <w:r>
        <w:rPr>
          <w:rFonts w:ascii="Times New Roman" w:cs="Times New Roman" w:eastAsia="Times New Roman" w:hAnsi="Times New Roman"/>
          <w:sz w:val="20"/>
          <w:szCs w:val="20"/>
        </w:rPr>
        <w:t xml:space="preserve">Jha, A. K., Bloch, R., and Lamond, J.: Cities and Flooding: A Guide to Integrated Urban Flood Risk Management for the 21st Century, The World Bank, Washington, D.C., 637 pp., 2012.</w:t>
      </w:r>
    </w:p>
    <w:p>
      <w:pPr>
        <w:spacing w:after="100" w:line="300"/>
        <w:ind w:left="360" w:hanging="360"/>
        <w:jc w:val="both"/>
      </w:pPr>
      <w:r>
        <w:rPr>
          <w:rFonts w:ascii="Times New Roman" w:cs="Times New Roman" w:eastAsia="Times New Roman" w:hAnsi="Times New Roman"/>
          <w:sz w:val="20"/>
          <w:szCs w:val="20"/>
        </w:rPr>
        <w:t xml:space="preserve">Khosravi, K., Shahabi, H., Pham, B. T., Adamowski, J., Shirzadi, A., Pradhan, B., Dou, J., Ly, H.-B., Gróf, G., Ho, H. L., Hong, H., Chapi, K., and Prakash, I.: A comparative assessment of flood susceptibility modeling using multi-criteria decision-making analysis and machine learning methods, J. Hydrol., 573, 311–323, https://doi.org/10.1016/j.jhydrol.2019.03.073, 2019.</w:t>
      </w:r>
    </w:p>
    <w:p>
      <w:pPr>
        <w:spacing w:after="100" w:line="300"/>
        <w:ind w:left="360" w:hanging="360"/>
        <w:jc w:val="both"/>
      </w:pPr>
      <w:r>
        <w:rPr>
          <w:rFonts w:ascii="Times New Roman" w:cs="Times New Roman" w:eastAsia="Times New Roman" w:hAnsi="Times New Roman"/>
          <w:sz w:val="20"/>
          <w:szCs w:val="20"/>
        </w:rPr>
        <w:t xml:space="preserve">Lagos State Emergency Management Agency (LASEMA): Annual Flood Hazard Report 2016–2023, Lagos State Government, Lagos, 2023.</w:t>
      </w:r>
    </w:p>
    <w:p>
      <w:pPr>
        <w:spacing w:after="100" w:line="300"/>
        <w:ind w:left="360" w:hanging="360"/>
        <w:jc w:val="both"/>
      </w:pPr>
      <w:r>
        <w:rPr>
          <w:rFonts w:ascii="Times New Roman" w:cs="Times New Roman" w:eastAsia="Times New Roman" w:hAnsi="Times New Roman"/>
          <w:sz w:val="20"/>
          <w:szCs w:val="20"/>
        </w:rPr>
        <w:t xml:space="preserve">Lagos State Ministry of Environment: Lagos State Drainage Master Plan — Design Standards and Guidelines, Lagos State Government, Lagos, 2016.</w:t>
      </w:r>
    </w:p>
    <w:p>
      <w:pPr>
        <w:spacing w:after="100" w:line="300"/>
        <w:ind w:left="360" w:hanging="360"/>
        <w:jc w:val="both"/>
      </w:pPr>
      <w:r>
        <w:rPr>
          <w:rFonts w:ascii="Times New Roman" w:cs="Times New Roman" w:eastAsia="Times New Roman" w:hAnsi="Times New Roman"/>
          <w:sz w:val="20"/>
          <w:szCs w:val="20"/>
        </w:rPr>
        <w:t xml:space="preserve">Meesuk, V., Vojinovic, Z., Mynett, A. E., and Abdullah, A. F.: Urban flood modelling combining top-view LiDAR data with ground-view SfM observations for road environment detection, ISPRS J. Photogramm., 103, 245–261, https://doi.org/10.1016/j.isprsjprs.2014.09.020, 2015.</w:t>
      </w:r>
    </w:p>
    <w:p>
      <w:pPr>
        <w:spacing w:after="100" w:line="300"/>
        <w:ind w:left="360" w:hanging="360"/>
        <w:jc w:val="both"/>
      </w:pPr>
      <w:r>
        <w:rPr>
          <w:rFonts w:ascii="Times New Roman" w:cs="Times New Roman" w:eastAsia="Times New Roman" w:hAnsi="Times New Roman"/>
          <w:sz w:val="20"/>
          <w:szCs w:val="20"/>
        </w:rPr>
        <w:t xml:space="preserve">National Emergency Management Agency (NEMA): Annual Flood Report 2022, NEMA/HQ/FLD/2022, Abuja, 2022.</w:t>
      </w:r>
    </w:p>
    <w:p>
      <w:pPr>
        <w:spacing w:after="100" w:line="300"/>
        <w:ind w:left="360" w:hanging="360"/>
        <w:jc w:val="both"/>
      </w:pPr>
      <w:r>
        <w:rPr>
          <w:rFonts w:ascii="Times New Roman" w:cs="Times New Roman" w:eastAsia="Times New Roman" w:hAnsi="Times New Roman"/>
          <w:sz w:val="20"/>
          <w:szCs w:val="20"/>
        </w:rPr>
        <w:t xml:space="preserve">Nobre, A. D., Cuartas, L. A., Hodnett, M., Renno, C. D., Rodrigues, G., Silveira, A., Waterloo, M., and Saleska, S.: Height Above the Nearest Drainage — a hydrologically relevant new terrain model, J. Hydrol., 404, 13–29, https://doi.org/10.1016/j.jhydrol.2011.03.051, 2011.</w:t>
      </w:r>
    </w:p>
    <w:p>
      <w:pPr>
        <w:spacing w:after="100" w:line="300"/>
        <w:ind w:left="360" w:hanging="360"/>
        <w:jc w:val="both"/>
      </w:pPr>
      <w:r>
        <w:rPr>
          <w:rFonts w:ascii="Times New Roman" w:cs="Times New Roman" w:eastAsia="Times New Roman" w:hAnsi="Times New Roman"/>
          <w:sz w:val="20"/>
          <w:szCs w:val="20"/>
        </w:rPr>
        <w:t xml:space="preserve">Ogato, G. S., Bantider, A., Abebe, K., and Geneletti, D.: Geographic information system (GIS)-based spatial prediction of flood hazard using frequency ratio, fuzzy logic and statistical index, J. Water Clim. Chang., 11, 1383–1406, https://doi.org/10.2166/wcc.2019.195, 2020.</w:t>
      </w:r>
    </w:p>
    <w:p>
      <w:pPr>
        <w:spacing w:after="100" w:line="300"/>
        <w:ind w:left="360" w:hanging="360"/>
        <w:jc w:val="both"/>
      </w:pPr>
      <w:r>
        <w:rPr>
          <w:rFonts w:ascii="Times New Roman" w:cs="Times New Roman" w:eastAsia="Times New Roman" w:hAnsi="Times New Roman"/>
          <w:sz w:val="20"/>
          <w:szCs w:val="20"/>
        </w:rPr>
        <w:t xml:space="preserve">Ogungbenro, S. B. and Morakinyo, T. E.: Rainfall distribution and change detection across climatic zones in Nigeria, Weather Clim. Extrem., 5–6, 1–10, https://doi.org/10.1016/j.wace.2014.10.002, 2014.</w:t>
      </w:r>
    </w:p>
    <w:p>
      <w:pPr>
        <w:spacing w:after="100" w:line="300"/>
        <w:ind w:left="360" w:hanging="360"/>
        <w:jc w:val="both"/>
      </w:pPr>
      <w:r>
        <w:rPr>
          <w:rFonts w:ascii="Times New Roman" w:cs="Times New Roman" w:eastAsia="Times New Roman" w:hAnsi="Times New Roman"/>
          <w:sz w:val="20"/>
          <w:szCs w:val="20"/>
        </w:rPr>
        <w:t xml:space="preserve">OpenStreetMap contributors: Planet dump retrieved July 2024, available at: https://planet.openstreetmap.org (last access: July 2024), 2024.</w:t>
      </w:r>
    </w:p>
    <w:p>
      <w:pPr>
        <w:spacing w:after="100" w:line="300"/>
        <w:ind w:left="360" w:hanging="360"/>
        <w:jc w:val="both"/>
      </w:pPr>
      <w:r>
        <w:rPr>
          <w:rFonts w:ascii="Times New Roman" w:cs="Times New Roman" w:eastAsia="Times New Roman" w:hAnsi="Times New Roman"/>
          <w:sz w:val="20"/>
          <w:szCs w:val="20"/>
        </w:rPr>
        <w:t xml:space="preserve">Pappenberger, F., Cloke, H. L., Parker, D. J., Wetterhall, F., Richardson, D. S., and Thielen, J.: The monetary benefit of early flood warnings in Europe, Environ. Sci. Policy, 51, 278–291, https://doi.org/10.1016/j.envsci.2015.04.016, 2015.</w:t>
      </w:r>
    </w:p>
    <w:p>
      <w:pPr>
        <w:spacing w:after="100" w:line="300"/>
        <w:ind w:left="360" w:hanging="360"/>
        <w:jc w:val="both"/>
      </w:pPr>
      <w:r>
        <w:rPr>
          <w:rFonts w:ascii="Times New Roman" w:cs="Times New Roman" w:eastAsia="Times New Roman" w:hAnsi="Times New Roman"/>
          <w:sz w:val="20"/>
          <w:szCs w:val="20"/>
        </w:rPr>
        <w:t xml:space="preserve">Rentschler, J., Salhab, M., and Jafino, B. A.: Flood exposure and poverty in 188 countries, Nat. Commun., 13, 3527, https://doi.org/10.1038/s41467-022-30727-4, 2022.</w:t>
      </w:r>
    </w:p>
    <w:p>
      <w:pPr>
        <w:spacing w:after="100" w:line="300"/>
        <w:ind w:left="360" w:hanging="360"/>
        <w:jc w:val="both"/>
      </w:pPr>
      <w:r>
        <w:rPr>
          <w:rFonts w:ascii="Times New Roman" w:cs="Times New Roman" w:eastAsia="Times New Roman" w:hAnsi="Times New Roman"/>
          <w:sz w:val="20"/>
          <w:szCs w:val="20"/>
        </w:rPr>
        <w:t xml:space="preserve">Rossman, L. A.: Storm Water Management Model User's Manual Version 5.1, EPA/600/R-14/413b, US Environmental Protection Agency, Cincinnati, OH, 353 pp., 2015.</w:t>
      </w:r>
    </w:p>
    <w:p>
      <w:pPr>
        <w:spacing w:after="100" w:line="300"/>
        <w:ind w:left="360" w:hanging="360"/>
        <w:jc w:val="both"/>
      </w:pPr>
      <w:r>
        <w:rPr>
          <w:rFonts w:ascii="Times New Roman" w:cs="Times New Roman" w:eastAsia="Times New Roman" w:hAnsi="Times New Roman"/>
          <w:sz w:val="20"/>
          <w:szCs w:val="20"/>
        </w:rPr>
        <w:t xml:space="preserve">Sampson, C. C., Smith, A. M., Bates, P. D., Neal, J. C., Alfieri, L., and Freer, J. E.: A high-resolution global flood hazard model, Water Resour. Res., 51, 7358–7381, https://doi.org/10.1002/2015WR016954, 2015.</w:t>
      </w:r>
    </w:p>
    <w:p>
      <w:pPr>
        <w:spacing w:after="100" w:line="300"/>
        <w:ind w:left="360" w:hanging="360"/>
        <w:jc w:val="both"/>
      </w:pPr>
      <w:r>
        <w:rPr>
          <w:rFonts w:ascii="Times New Roman" w:cs="Times New Roman" w:eastAsia="Times New Roman" w:hAnsi="Times New Roman"/>
          <w:sz w:val="20"/>
          <w:szCs w:val="20"/>
        </w:rPr>
        <w:t xml:space="preserve">Tehrany, M. S., Jones, S., Shabani, F., Martínez-Álvarez, F., and Tien Bui, D.: A novel ensemble modeling approach for the spatial prediction of tropical forest fire susceptibility using LogitBoost machine learning classifier and multi-source geospatial data, Theor. Appl. Climatol., 137, 637–653, 2019.</w:t>
      </w:r>
    </w:p>
    <w:p>
      <w:pPr>
        <w:spacing w:after="100" w:line="300"/>
        <w:ind w:left="360" w:hanging="360"/>
        <w:jc w:val="both"/>
      </w:pPr>
      <w:r>
        <w:rPr>
          <w:rFonts w:ascii="Times New Roman" w:cs="Times New Roman" w:eastAsia="Times New Roman" w:hAnsi="Times New Roman"/>
          <w:sz w:val="20"/>
          <w:szCs w:val="20"/>
        </w:rPr>
        <w:t xml:space="preserve">Tingsanchali, T.: Urban flood disaster management, Procedia Eng., 32, 25–37, https://doi.org/10.1016/j.proeng.2012.01.1233, 2012.</w:t>
      </w:r>
    </w:p>
    <w:p>
      <w:pPr>
        <w:spacing w:after="100" w:line="300"/>
        <w:ind w:left="360" w:hanging="360"/>
        <w:jc w:val="both"/>
      </w:pPr>
      <w:r>
        <w:rPr>
          <w:rFonts w:ascii="Times New Roman" w:cs="Times New Roman" w:eastAsia="Times New Roman" w:hAnsi="Times New Roman"/>
          <w:sz w:val="20"/>
          <w:szCs w:val="20"/>
        </w:rPr>
        <w:t xml:space="preserve">UNDRR: The Human Cost of Disasters: An Overview of the Last 20 Years (2000–2019), United Nations Office for Disaster Risk Reduction, Geneva, 2020.</w:t>
      </w:r>
    </w:p>
    <w:p>
      <w:pPr>
        <w:spacing w:after="100" w:line="300"/>
        <w:ind w:left="360" w:hanging="360"/>
        <w:jc w:val="both"/>
      </w:pPr>
      <w:r>
        <w:rPr>
          <w:rFonts w:ascii="Times New Roman" w:cs="Times New Roman" w:eastAsia="Times New Roman" w:hAnsi="Times New Roman"/>
          <w:sz w:val="20"/>
          <w:szCs w:val="20"/>
        </w:rPr>
        <w:t xml:space="preserve">Vojinovic, Z. and Abbott, M. B.: Flood risk and social justice — From quantitative to qualitative flood risk assessment and mitigation, IWA Publishing, London, 354 pp., 2012.</w:t>
      </w:r>
    </w:p>
    <w:p>
      <w:pPr>
        <w:spacing w:after="100" w:line="300"/>
        <w:ind w:left="360" w:hanging="360"/>
        <w:jc w:val="both"/>
      </w:pPr>
      <w:r>
        <w:rPr>
          <w:rFonts w:ascii="Times New Roman" w:cs="Times New Roman" w:eastAsia="Times New Roman" w:hAnsi="Times New Roman"/>
          <w:sz w:val="20"/>
          <w:szCs w:val="20"/>
        </w:rPr>
        <w:t xml:space="preserve">World Bank: World Development Indicators: Urban Population — Nigeria, available at: https://data.worldbank.org (last access: March 2024), 2023.</w:t>
      </w:r>
    </w:p>
    <w:p>
      <w:pPr>
        <w:spacing w:after="100" w:line="300"/>
        <w:ind w:left="360" w:hanging="360"/>
        <w:jc w:val="both"/>
      </w:pPr>
      <w:r>
        <w:rPr>
          <w:rFonts w:ascii="Times New Roman" w:cs="Times New Roman" w:eastAsia="Times New Roman" w:hAnsi="Times New Roman"/>
          <w:sz w:val="20"/>
          <w:szCs w:val="20"/>
        </w:rPr>
        <w:t xml:space="preserve">WorldPop: WorldPop (www.worldpop.org — School of Geography and Environmental Science, University of Southampton; Department of Geography and Geosciences, University of Louisville; Departement de Geographie, Universite de Namur) and Center for International Earth Science Information Network (CIESIN), Columbia University (2018). Global High Resolution Population Denominators Project — Funded by The Bill and Melinda Gates Foundation (OPP1134076), https://doi.org/10.5258/SOTON/WP00647, 2020.</w:t>
      </w:r>
    </w:p>
    <w:p>
      <w:pPr>
        <w:spacing w:after="100" w:line="300"/>
        <w:ind w:left="360" w:hanging="360"/>
        <w:jc w:val="both"/>
      </w:pPr>
      <w:r>
        <w:rPr>
          <w:rFonts w:ascii="Times New Roman" w:cs="Times New Roman" w:eastAsia="Times New Roman" w:hAnsi="Times New Roman"/>
          <w:sz w:val="20"/>
          <w:szCs w:val="20"/>
        </w:rPr>
        <w:t xml:space="preserve">Zanaga, D., Van De Kerchove, R., Daems, D., De Keersmaecker, W., Brockmann, C., Kirches, G., Wevers, J., Cartus, O., Santoro, M., Fritz, S., Lesiv, M., Herold, M., Tsendbazar, N., Xu, P., Ramoino, F., and Arino, O.: ESA WorldCover 10 m 2021 v200, https://doi.org/10.5281/zenodo.7254221, 2022.</w:t>
      </w:r>
    </w:p>
    <w:p>
      <w:pPr>
        <w:spacing w:after="100" w:line="300"/>
        <w:ind w:left="360" w:hanging="360"/>
        <w:jc w:val="both"/>
      </w:pPr>
      <w:r>
        <w:rPr>
          <w:rFonts w:ascii="Times New Roman" w:cs="Times New Roman" w:eastAsia="Times New Roman" w:hAnsi="Times New Roman"/>
          <w:sz w:val="20"/>
          <w:szCs w:val="20"/>
        </w:rPr>
        <w:t xml:space="preserve">Zhu, Q., Cai, Y., Li, S., Liu, Y., and Lin, S.: Flood risk assessment of Xiamen's urban areas using GIS and a modified analytic hierarchy process, Nat. Hazards, 97, 323–344, https://doi.org/10.1007/s11069-019-03645-4, 2019.</w:t>
      </w:r>
    </w:p>
    <w:p>
      <w:pPr>
        <w:spacing w:after="100" w:line="300"/>
        <w:ind w:left="360" w:hanging="360"/>
        <w:jc w:val="both"/>
      </w:pPr>
      <w:r>
        <w:rPr>
          <w:rFonts w:ascii="Times New Roman" w:cs="Times New Roman" w:eastAsia="Times New Roman" w:hAnsi="Times New Roman"/>
          <w:sz w:val="20"/>
          <w:szCs w:val="20"/>
        </w:rPr>
        <w:t xml:space="preserve">Zippenfenig, P.: Open-Meteo.com Weather API, Zenodo, https://doi.org/10.5281/zenodo.7970649, 2023.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Nat. Hazards Earth Syst. Sci. Discuss. [preprint] —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color w:val="888888"/>
        <w:sz w:val="18"/>
        <w:szCs w:val="18"/>
      </w:rPr>
      <w:t xml:space="preserve">FloodSight: Urban Flood Early Warning System for Lagos</w:t>
    </w:r>
    <w:r>
      <w:rPr>
        <w:rFonts w:ascii="Arial" w:cs="Arial" w:eastAsia="Arial" w:hAnsi="Arial"/>
        <w:color w:val="888888"/>
        <w:sz w:val="18"/>
        <w:szCs w:val="18"/>
      </w:rPr>
      <w:t xml:space="preserve">	Adegoke, 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2026-07-01T12:28:01.870Z</dcterms:created>
  <dcterms:modified xsi:type="dcterms:W3CDTF">2026-07-01T12:28:01.871Z</dcterms:modified>
</cp:coreProperties>
</file>

<file path=docProps/custom.xml><?xml version="1.0" encoding="utf-8"?>
<Properties xmlns="http://schemas.openxmlformats.org/officeDocument/2006/custom-properties" xmlns:vt="http://schemas.openxmlformats.org/officeDocument/2006/docPropsVTypes"/>
</file>