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7FA8"/>
          <w:sz w:val="26"/>
        </w:rPr>
        <w:t>NEXA — Climate &amp; Health Innovation</w:t>
      </w:r>
    </w:p>
    <w:p>
      <w:r>
        <w:rPr>
          <w:color w:val="556670"/>
          <w:sz w:val="22"/>
        </w:rPr>
        <w:t>Proof of Concept — Application (draft answers for the Fluxx portal)</w:t>
      </w:r>
    </w:p>
    <w:p>
      <w:r>
        <w:rPr>
          <w:b/>
          <w:color w:val="102B3C"/>
          <w:sz w:val="52"/>
        </w:rPr>
        <w:t>FloodSight Health</w:t>
      </w:r>
    </w:p>
    <w:p>
      <w:r>
        <w:rPr>
          <w:color w:val="556670"/>
          <w:sz w:val="24"/>
        </w:rPr>
        <w:t>Satellite flood alerts that pre-position malaria commodities in Lagos, Nigeria</w:t>
      </w:r>
    </w:p>
    <w:p/>
    <w:tbl>
      <w:tblPr>
        <w:tblW w:type="auto" w:w="0"/>
        <w:jc w:val="left"/>
        <w:tblLook w:firstColumn="1" w:firstRow="1" w:lastColumn="0" w:lastRow="0" w:noHBand="0" w:noVBand="1" w:val="04A0"/>
      </w:tblPr>
      <w:tblGrid>
        <w:gridCol w:w="4320"/>
        <w:gridCol w:w="4320"/>
      </w:tblGrid>
      <w:tr>
        <w:tc>
          <w:tcPr>
            <w:tcW w:type="dxa" w:w="3168"/>
          </w:tcPr>
          <w:p>
            <w:r>
              <w:rPr>
                <w:b/>
                <w:color w:val="102B3C"/>
                <w:sz w:val="19"/>
              </w:rPr>
              <w:t>Applicant organisation</w:t>
            </w:r>
          </w:p>
        </w:tc>
        <w:tc>
          <w:tcPr>
            <w:tcW w:type="dxa" w:w="6192"/>
          </w:tcPr>
          <w:p>
            <w:r>
              <w:rPr>
                <w:sz w:val="19"/>
              </w:rPr>
              <w:t>Rankine Innovation Lab — incorporated &amp; based in Nigeria</w:t>
            </w:r>
          </w:p>
        </w:tc>
      </w:tr>
      <w:tr>
        <w:tc>
          <w:tcPr>
            <w:tcW w:type="dxa" w:w="3168"/>
          </w:tcPr>
          <w:p>
            <w:r>
              <w:rPr>
                <w:b/>
                <w:color w:val="102B3C"/>
                <w:sz w:val="19"/>
              </w:rPr>
              <w:t>Project Lead</w:t>
            </w:r>
          </w:p>
        </w:tc>
        <w:tc>
          <w:tcPr>
            <w:tcW w:type="dxa" w:w="6192"/>
          </w:tcPr>
          <w:p>
            <w:r>
              <w:rPr>
                <w:sz w:val="19"/>
              </w:rPr>
              <w:t>Habeeb Adegoke  ·  ahadegok@asu.edu</w:t>
            </w:r>
          </w:p>
        </w:tc>
      </w:tr>
      <w:tr>
        <w:tc>
          <w:tcPr>
            <w:tcW w:type="dxa" w:w="3168"/>
          </w:tcPr>
          <w:p>
            <w:r>
              <w:rPr>
                <w:b/>
                <w:color w:val="102B3C"/>
                <w:sz w:val="19"/>
              </w:rPr>
              <w:t>Country of incorporation</w:t>
            </w:r>
          </w:p>
        </w:tc>
        <w:tc>
          <w:tcPr>
            <w:tcW w:type="dxa" w:w="6192"/>
          </w:tcPr>
          <w:p>
            <w:r>
              <w:rPr>
                <w:sz w:val="19"/>
              </w:rPr>
              <w:t>Nigeria</w:t>
            </w:r>
          </w:p>
        </w:tc>
      </w:tr>
      <w:tr>
        <w:tc>
          <w:tcPr>
            <w:tcW w:type="dxa" w:w="3168"/>
          </w:tcPr>
          <w:p>
            <w:r>
              <w:rPr>
                <w:b/>
                <w:color w:val="102B3C"/>
                <w:sz w:val="19"/>
              </w:rPr>
              <w:t>Country of implementation</w:t>
            </w:r>
          </w:p>
        </w:tc>
        <w:tc>
          <w:tcPr>
            <w:tcW w:type="dxa" w:w="6192"/>
          </w:tcPr>
          <w:p>
            <w:r>
              <w:rPr>
                <w:sz w:val="19"/>
              </w:rPr>
              <w:t>Nigeria (Lagos State)</w:t>
            </w:r>
          </w:p>
        </w:tc>
      </w:tr>
      <w:tr>
        <w:tc>
          <w:tcPr>
            <w:tcW w:type="dxa" w:w="3168"/>
          </w:tcPr>
          <w:p>
            <w:r>
              <w:rPr>
                <w:b/>
                <w:color w:val="102B3C"/>
                <w:sz w:val="19"/>
              </w:rPr>
              <w:t>Area of focus</w:t>
            </w:r>
          </w:p>
        </w:tc>
        <w:tc>
          <w:tcPr>
            <w:tcW w:type="dxa" w:w="6192"/>
          </w:tcPr>
          <w:p>
            <w:r>
              <w:rPr>
                <w:sz w:val="19"/>
              </w:rPr>
              <w:t>1. Climate-informed early warning and monitoring systems</w:t>
            </w:r>
          </w:p>
        </w:tc>
      </w:tr>
      <w:tr>
        <w:tc>
          <w:tcPr>
            <w:tcW w:type="dxa" w:w="3168"/>
          </w:tcPr>
          <w:p>
            <w:r>
              <w:rPr>
                <w:b/>
                <w:color w:val="102B3C"/>
                <w:sz w:val="19"/>
              </w:rPr>
              <w:t>Priority outcome</w:t>
            </w:r>
          </w:p>
        </w:tc>
        <w:tc>
          <w:tcPr>
            <w:tcW w:type="dxa" w:w="6192"/>
          </w:tcPr>
          <w:p>
            <w:r>
              <w:rPr>
                <w:sz w:val="19"/>
              </w:rPr>
              <w:t>Mosquito-borne infection: malaria (changing mosquito ecology)</w:t>
            </w:r>
          </w:p>
        </w:tc>
      </w:tr>
      <w:tr>
        <w:tc>
          <w:tcPr>
            <w:tcW w:type="dxa" w:w="3168"/>
          </w:tcPr>
          <w:p>
            <w:r>
              <w:rPr>
                <w:b/>
                <w:color w:val="102B3C"/>
                <w:sz w:val="19"/>
              </w:rPr>
              <w:t>Connection to community</w:t>
            </w:r>
          </w:p>
        </w:tc>
        <w:tc>
          <w:tcPr>
            <w:tcW w:type="dxa" w:w="6192"/>
          </w:tcPr>
          <w:p>
            <w:r>
              <w:rPr>
                <w:sz w:val="19"/>
              </w:rPr>
              <w:t>Community owned / led (team from &amp; based in the affected community)</w:t>
            </w:r>
          </w:p>
        </w:tc>
      </w:tr>
      <w:tr>
        <w:tc>
          <w:tcPr>
            <w:tcW w:type="dxa" w:w="3168"/>
          </w:tcPr>
          <w:p>
            <w:r>
              <w:rPr>
                <w:b/>
                <w:color w:val="102B3C"/>
                <w:sz w:val="19"/>
              </w:rPr>
              <w:t>Amount requested</w:t>
            </w:r>
          </w:p>
        </w:tc>
        <w:tc>
          <w:tcPr>
            <w:tcW w:type="dxa" w:w="6192"/>
          </w:tcPr>
          <w:p>
            <w:r>
              <w:rPr>
                <w:sz w:val="19"/>
              </w:rPr>
              <w:t>USD 200,000</w:t>
            </w:r>
          </w:p>
        </w:tc>
      </w:tr>
      <w:tr>
        <w:tc>
          <w:tcPr>
            <w:tcW w:type="dxa" w:w="3168"/>
          </w:tcPr>
          <w:p>
            <w:r>
              <w:rPr>
                <w:b/>
                <w:color w:val="102B3C"/>
                <w:sz w:val="19"/>
              </w:rPr>
              <w:t>Duration</w:t>
            </w:r>
          </w:p>
        </w:tc>
        <w:tc>
          <w:tcPr>
            <w:tcW w:type="dxa" w:w="6192"/>
          </w:tcPr>
          <w:p>
            <w:r>
              <w:rPr>
                <w:sz w:val="19"/>
              </w:rPr>
              <w:t>18 months</w:t>
            </w:r>
          </w:p>
        </w:tc>
      </w:tr>
      <w:tr>
        <w:tc>
          <w:tcPr>
            <w:tcW w:type="dxa" w:w="3168"/>
          </w:tcPr>
          <w:p>
            <w:r>
              <w:rPr>
                <w:b/>
                <w:color w:val="102B3C"/>
                <w:sz w:val="19"/>
              </w:rPr>
              <w:t>Live system</w:t>
            </w:r>
          </w:p>
        </w:tc>
        <w:tc>
          <w:tcPr>
            <w:tcW w:type="dxa" w:w="6192"/>
          </w:tcPr>
          <w:p>
            <w:r>
              <w:rPr>
                <w:sz w:val="19"/>
              </w:rPr>
              <w:t>floodsight-starter.onrender.com  ·  rankineinnovationlab.com/health.html</w:t>
            </w:r>
          </w:p>
        </w:tc>
      </w:tr>
    </w:tbl>
    <w:p/>
    <w:p>
      <w:r>
        <w:rPr>
          <w:i/>
          <w:color w:val="556670"/>
          <w:sz w:val="17"/>
        </w:rPr>
        <w:t>Note: bracketed [ ... ] items are placeholders for names/details to confirm before submission (co-founder, epidemiology/entomology and biostatistics collaborators, LSPHCDA focal person). Character counts shown under each answer include letters AND spaces, matching how Fluxx counts.</w:t>
      </w:r>
    </w:p>
    <w:p>
      <w:r>
        <w:br w:type="page"/>
      </w:r>
    </w:p>
    <w:p>
      <w:pPr>
        <w:pBdr>
          <w:bottom w:val="single" w:sz="6" w:space="2" w:color="1B7FA8"/>
        </w:pBdr>
      </w:pPr>
      <w:r>
        <w:rPr>
          <w:b/>
          <w:color w:val="102B3C"/>
          <w:sz w:val="30"/>
        </w:rPr>
        <w:t>Proposed Investment Details</w:t>
      </w:r>
    </w:p>
    <w:p>
      <w:r>
        <w:rPr>
          <w:b/>
          <w:color w:val="1B7FA8"/>
          <w:sz w:val="17"/>
        </w:rPr>
        <w:t>PROJECT TITLE  [100-CHARACTER LIMIT]</w:t>
      </w:r>
    </w:p>
    <w:p>
      <w:r>
        <w:rPr>
          <w:sz w:val="22"/>
        </w:rPr>
        <w:t>FloodSight Health: satellite flood alerts that pre-position malaria commodities in Lagos</w:t>
      </w:r>
    </w:p>
    <w:p>
      <w:r>
        <w:rPr>
          <w:i/>
          <w:color w:val="1B7FA8"/>
          <w:sz w:val="17"/>
        </w:rPr>
        <w:t>[88 / 100 characters]</w:t>
      </w:r>
    </w:p>
    <w:p/>
    <w:p>
      <w:r>
        <w:rPr>
          <w:b/>
          <w:sz w:val="20"/>
        </w:rPr>
        <w:t xml:space="preserve">Amount requested:  </w:t>
      </w:r>
      <w:r>
        <w:rPr>
          <w:sz w:val="20"/>
        </w:rPr>
        <w:t>USD 200,000</w:t>
      </w:r>
    </w:p>
    <w:p>
      <w:r>
        <w:rPr>
          <w:b/>
          <w:sz w:val="20"/>
        </w:rPr>
        <w:t xml:space="preserve">Duration:  </w:t>
      </w:r>
      <w:r>
        <w:rPr>
          <w:sz w:val="20"/>
        </w:rPr>
        <w:t>18 months</w:t>
      </w:r>
    </w:p>
    <w:p>
      <w:r>
        <w:rPr>
          <w:b/>
          <w:sz w:val="20"/>
        </w:rPr>
        <w:t xml:space="preserve">Country of incorporation:  </w:t>
      </w:r>
      <w:r>
        <w:rPr>
          <w:sz w:val="20"/>
        </w:rPr>
        <w:t>Nigeria</w:t>
      </w:r>
    </w:p>
    <w:p>
      <w:r>
        <w:rPr>
          <w:b/>
          <w:sz w:val="20"/>
        </w:rPr>
        <w:t xml:space="preserve">Country(ies) of implementation:  </w:t>
      </w:r>
      <w:r>
        <w:rPr>
          <w:sz w:val="20"/>
        </w:rPr>
        <w:t>Nigeria (Lagos State)</w:t>
      </w:r>
    </w:p>
    <w:p>
      <w:r>
        <w:rPr>
          <w:b/>
          <w:sz w:val="20"/>
        </w:rPr>
        <w:t xml:space="preserve">Area of focus:  </w:t>
      </w:r>
      <w:r>
        <w:rPr>
          <w:sz w:val="20"/>
        </w:rPr>
        <w:t>Climate-informed early warning and monitoring systems</w:t>
      </w:r>
    </w:p>
    <w:p>
      <w:r>
        <w:rPr>
          <w:b/>
          <w:sz w:val="20"/>
        </w:rPr>
        <w:t xml:space="preserve">Connection to target community:  </w:t>
      </w:r>
      <w:r>
        <w:rPr>
          <w:sz w:val="20"/>
        </w:rPr>
        <w:t>Community owned / led — leadership team from and based in the affected community</w:t>
      </w:r>
    </w:p>
    <w:p>
      <w:r>
        <w:br w:type="page"/>
      </w:r>
    </w:p>
    <w:p>
      <w:pPr>
        <w:pBdr>
          <w:bottom w:val="single" w:sz="6" w:space="2" w:color="1B7FA8"/>
        </w:pBdr>
      </w:pPr>
      <w:r>
        <w:rPr>
          <w:b/>
          <w:color w:val="102B3C"/>
          <w:sz w:val="30"/>
        </w:rPr>
        <w:t>Innovation Overview</w:t>
      </w:r>
    </w:p>
    <w:p>
      <w:r>
        <w:rPr>
          <w:b/>
          <w:color w:val="1B7FA8"/>
          <w:sz w:val="17"/>
        </w:rPr>
        <w:t>SCREENED FIRST (INNOVATION &amp; RELEVANCE). OVER 80% OF APPLICATIONS ARE DECLINED HERE.</w:t>
      </w:r>
    </w:p>
    <w:p/>
    <w:p>
      <w:r>
        <w:rPr>
          <w:b/>
          <w:color w:val="102B3C"/>
          <w:sz w:val="22"/>
        </w:rPr>
        <w:t>1. What is the specific gap or problem addressed by your innovation?</w:t>
      </w:r>
    </w:p>
    <w:p>
      <w:r>
        <w:rPr>
          <w:i/>
          <w:color w:val="556670"/>
          <w:sz w:val="17"/>
        </w:rPr>
        <w:t>Climate-driven health problem + context; how it supports local actors to adapt/build resilience.</w:t>
      </w:r>
    </w:p>
    <w:p>
      <w:pPr>
        <w:spacing w:before="40"/>
      </w:pPr>
      <w:r>
        <w:t>Lagos, Nigeria floods almost every rainy season. Standing floodwater in dense, low-income LGAs creates mosquito-breeding habitat, and clinicians and community health workers see malaria and febrile illness rise in the weeks that follow a flood. Yet the response is reactive: bed nets and rapid diagnostic tests (RDTs) move only after cases present at facilities, once transmission is already underway. Existing malaria-risk tools are coarse (district/monthly) planning indices; existing flood warnings are state-wide bulletins in technical language. Neither tells a specific Community Health Extension Worker (CHEW) that THIS ward is about to see elevated risk, in time to act. As extreme rainfall intensifies with climate change, this anticipation gap widens. FloodSight Health helps local health actors turn a climate signal (flood inundation) into a timely, ward-level prevention action, building frontline resilience where flooding and malaria overlap most.</w:t>
      </w:r>
    </w:p>
    <w:p>
      <w:r>
        <w:rPr>
          <w:i/>
          <w:color w:val="1B7FA8"/>
          <w:sz w:val="17"/>
        </w:rPr>
        <w:t>[961 / 1,500 characters]</w:t>
      </w:r>
    </w:p>
    <w:p/>
    <w:p>
      <w:r>
        <w:rPr>
          <w:b/>
          <w:color w:val="102B3C"/>
          <w:sz w:val="22"/>
        </w:rPr>
        <w:t>2. What is your proposed innovation?</w:t>
      </w:r>
    </w:p>
    <w:p>
      <w:r>
        <w:rPr>
          <w:i/>
          <w:color w:val="556670"/>
          <w:sz w:val="17"/>
        </w:rPr>
        <w:t>How it addresses a climate-health impact; relation to Nexa areas of focus and priority outcomes.</w:t>
      </w:r>
    </w:p>
    <w:p>
      <w:pPr>
        <w:spacing w:before="40"/>
      </w:pPr>
      <w:r>
        <w:t>FloodSight Health is a climate-informed early-warning layer that converts satellite flood forecasts into anticipatory malaria-prevention action. It builds on FloodSight, our live, deployed system that scores flood hazard across 15 Lagos LGAs on a 200 m grid (24,933 cells) from free NASA/Copernicus satellite data. When flooded cells in a pilot LGA cross a threshold, a transparent, rule-based risk-priority engine ranks which wards are most likely to develop mosquito habitat, combining inundation area, terrain water-retention, and temperature-dependent larval development (Bayoh &amp; Lindsay 2003). The system then sends a plain-language SMS to enrolled CHEWs on any phone (Africa's Talking): e.g. "HIGH risk, Alimosho. Pre-position nets + RDTs. Window: Aug 3-10." CHEWs reply CONFIRM, REPORT (case count), or HELP; an explicit ALL-CLEAR closes each event. This directly serves Nexa Area of Focus 1 (climate-informed early warning and monitoring for changing mosquito ecology) and the priority outcome of reducing malaria risk, by fusing weather/climate data with health-system action rather than only generating a forecast. The whole stack runs on open data and free-tier infrastructure; the only marginal cost per event is the SMS. Crucially, the pilot validates the flood-to-mosquito link with field larval surveys, so the innovation both delivers and tests its own causal assumption.</w:t>
      </w:r>
    </w:p>
    <w:p>
      <w:r>
        <w:rPr>
          <w:i/>
          <w:color w:val="1B7FA8"/>
          <w:sz w:val="17"/>
        </w:rPr>
        <w:t>[1,387 / 2,000 characters]</w:t>
      </w:r>
    </w:p>
    <w:p/>
    <w:p>
      <w:r>
        <w:rPr>
          <w:b/>
          <w:color w:val="102B3C"/>
          <w:sz w:val="22"/>
        </w:rPr>
        <w:t>3. How will your proposed innovation be designed to positively impact the population of focus?</w:t>
      </w:r>
    </w:p>
    <w:p>
      <w:r>
        <w:rPr>
          <w:i/>
          <w:color w:val="556670"/>
          <w:sz w:val="17"/>
        </w:rPr>
        <w:t>The climate-vulnerable population; why in need; how they access and use it.</w:t>
      </w:r>
    </w:p>
    <w:p>
      <w:pPr>
        <w:spacing w:before="40"/>
      </w:pPr>
      <w:r>
        <w:t>The population of focus is residents of Lagos's most flood-exposed, high-density, low-income LGAs (Alimosho, Ajeromi-Ifelodun, Kosofe, Oshodi-Isolo, Ikorodu), including children under five and pregnant women, who bear the greatest malaria risk and who are least reached by digital or facility-based warnings. They do not access the innovation directly; that is deliberate. FloodSight Health reaches them THROUGH the government frontline they already rely on: Community Health Extension Workers (CHEWs) attached to Primary Health Care facilities under the Lagos State Primary Healthcare Development Authority (LSPHCDA). CHEWs receive the SMS on ordinary feature phones (no smartphone, app, data, or literacy barrier for residents), and translate it into house-to-house net distribution, RDT pre-positioning, larval-source clearance, and community sensitisation ahead of the risk window. Residents thus benefit as earlier, better-targeted prevention arrives before the case rise, delivered by a trusted local worker in their own community, at no cost to them.</w:t>
      </w:r>
    </w:p>
    <w:p>
      <w:r>
        <w:rPr>
          <w:i/>
          <w:color w:val="1B7FA8"/>
          <w:sz w:val="17"/>
        </w:rPr>
        <w:t>[1,057 / 1,500 characters]</w:t>
      </w:r>
    </w:p>
    <w:p/>
    <w:p>
      <w:r>
        <w:rPr>
          <w:b/>
          <w:color w:val="102B3C"/>
          <w:sz w:val="22"/>
        </w:rPr>
        <w:t>4. What makes your proposed solution innovative in your target setting?</w:t>
      </w:r>
    </w:p>
    <w:p>
      <w:r>
        <w:rPr>
          <w:i/>
          <w:color w:val="556670"/>
          <w:sz w:val="17"/>
        </w:rPr>
        <w:t>Why it is a better alternative; integration of scientific/technological, social, business innovation.</w:t>
      </w:r>
    </w:p>
    <w:p>
      <w:pPr>
        <w:spacing w:before="40"/>
      </w:pPr>
      <w:r>
        <w:t>Three things make this a better alternative in Lagos. (1) Resolution and actuation. Existing malaria early-warning tools (WHO/WMO MEWS concepts, the INFORM index, IRI seasonal models) are coarse, monthly, planner-facing risk indices. FloodSight Health is 200 m, event-triggered, and ACTUATING: it does not stop at a map, it dispatches a specific instruction to a named CHEW for a named ward and window. (2) Event-driven, not calendar-driven. Seasonal malaria chemoprevention and routine campaigns act on a fixed calendar; FloodSight Health acts on the actual climate event (a specific flood), making prevention climate-adaptive in exactly the way changing rainfall demands. (3) Integrated and honest. It combines a technological innovation (open-satellite flood modelling, already live and tested with 50 automated tests), a social innovation (CHEW two-way SMS with explicit all-clear to build trust and avoid alert fatigue), and a validation innovation: the pilot runs field larval surveys to confirm whether flagged sites actually breed the malaria vector Anopheles rather than the nuisance vector Culex. Rather than assert an unproven causal chain, we instrument it. The risk engine is presented transparently as an uncalibrated rule-based prior for RANKING, to be replaced by parameters estimated from pilot data, not as a black box. This candour, plus a working system on day one, distinguishes it from concept-stage entries.</w:t>
      </w:r>
    </w:p>
    <w:p>
      <w:r>
        <w:rPr>
          <w:i/>
          <w:color w:val="1B7FA8"/>
          <w:sz w:val="17"/>
        </w:rPr>
        <w:t>[1,430 / 2,000 characters]</w:t>
      </w:r>
    </w:p>
    <w:p/>
    <w:p>
      <w:r>
        <w:rPr>
          <w:b/>
          <w:color w:val="102B3C"/>
          <w:sz w:val="22"/>
        </w:rPr>
        <w:t>5. Describe how your proposed innovation has the potential to meaningfully improve priority outcomes.</w:t>
      </w:r>
    </w:p>
    <w:p>
      <w:r>
        <w:rPr>
          <w:i/>
          <w:color w:val="556670"/>
          <w:sz w:val="17"/>
        </w:rPr>
        <w:t>Which priority outcome; how it fundamentally transforms how this is addressed.</w:t>
      </w:r>
    </w:p>
    <w:p>
      <w:pPr>
        <w:spacing w:before="40"/>
      </w:pPr>
      <w:r>
        <w:t>Priority outcome: reduced risk of malaria infection in flood-exposed communities, via earlier and better-targeted prevention (Nexa mosquito-borne infection outcome). FloodSight Health transforms HOW this is addressed by shifting malaria commodity deployment from reactive (after cases present) to anticipatory (before the mosquito population peaks), using a climate trigger. The mechanism is a lead time: floodwater creates habitat, larvae develop over roughly 8-14 days at Lagos temperatures, and confirmed cases rise 2-3 weeks after a flood. That window is the opportunity to pre-position nets and RDTs and clear larval sources so fewer infective bites occur and febrile cases are tested and treated faster. Because the PoC is honest about attribution limits at this stage, we define improvement primarily through measurable intermediary outcomes the grant CAN establish: the share of alerts acted on before the risk window opens; the time from alert to CHEW action; the share of flagged sites where Anopheles is entomologically confirmed; and CHEW-reported usefulness. Establishing that anticipatory, climate-triggered commodity movement is feasible, trusted, and correctly targeted is the transformation the PoC proves. Population malaria trends in DHIS2 are tracked as an exploratory early signal, powering a later Transition-to-Scale evaluation. If validated, the same anticipation logic extends to dengue and to any flood-sensitive vector, giving health systems a general climate-to-action capability.</w:t>
      </w:r>
    </w:p>
    <w:p>
      <w:r>
        <w:rPr>
          <w:i/>
          <w:color w:val="1B7FA8"/>
          <w:sz w:val="17"/>
        </w:rPr>
        <w:t>[1,508 / 2,000 characters]</w:t>
      </w:r>
    </w:p>
    <w:p/>
    <w:p>
      <w:r>
        <w:rPr>
          <w:b/>
          <w:color w:val="102B3C"/>
          <w:sz w:val="22"/>
        </w:rPr>
        <w:t>6. Describe how the health impacts of climate change influence the design, functioning, and deployment of your innovation.</w:t>
      </w:r>
    </w:p>
    <w:p>
      <w:r>
        <w:rPr>
          <w:i/>
          <w:color w:val="556670"/>
          <w:sz w:val="17"/>
        </w:rPr>
        <w:t>Developed for a climate-driven risk or adapted; changes made; climate central to design.</w:t>
      </w:r>
    </w:p>
    <w:p>
      <w:pPr>
        <w:spacing w:before="40"/>
      </w:pPr>
      <w:r>
        <w:t>Climate risk is the reason this innovation exists. The core FloodSight system was built to anticipate climate-driven flooding, and the health layer exists solely because flood inundation (a climate hazard, intensifying with more extreme rainfall) is the input that drives mosquito habitat and the malaria risk we act on. Climate shapes every design choice: the trigger is a satellite-observed flood event, not a calendar; the timing of alerts is set by temperature-dependent larval development, so the lead time itself adapts to conditions; the geography of alerts follows where climate and terrain put standing water, at 200 m. The delivery channel (SMS to CHEWs on feature phones) is chosen for resilience in lower-resourced, flood-affected settings where connectivity and power are unreliable. The system was adapted from our existing flood-warning platform by adding the mosquito-risk and health-action modules; it would not exist without the climate hazard it responds to. We also keep the environmental footprint minimal by design: open data and free-tier compute, with SMS as the only per-event input.</w:t>
      </w:r>
    </w:p>
    <w:p>
      <w:r>
        <w:rPr>
          <w:i/>
          <w:color w:val="1B7FA8"/>
          <w:sz w:val="17"/>
        </w:rPr>
        <w:t>[1,108 / 1,500 characters]</w:t>
      </w:r>
    </w:p>
    <w:p/>
    <w:p>
      <w:r>
        <w:rPr>
          <w:b/>
          <w:color w:val="102B3C"/>
          <w:sz w:val="22"/>
        </w:rPr>
        <w:t>7. Describe the project team and collaborators' connection to and/or lived experience in the implementation context.</w:t>
      </w:r>
    </w:p>
    <w:p>
      <w:r>
        <w:rPr>
          <w:i/>
          <w:color w:val="556670"/>
          <w:sz w:val="17"/>
        </w:rPr>
        <w:t>Identity, location, roles of local staff, active local presence, community partnership.</w:t>
      </w:r>
    </w:p>
    <w:p>
      <w:pPr>
        <w:spacing w:before="40"/>
      </w:pPr>
      <w:r>
        <w:t>Rankine Innovation Lab is a Nigerian organisation; our co-founders are based in Lagos, in and around the flood-affected communities this project serves, and the team has direct lived experience of Lagos flooding and its health aftermath. This is not an outside intervention: the people building it live with the problem. The applicant is incorporated in Nigeria and implements entirely in Lagos State. Our work to date has been developed in and for Lagos, and the FloodSight flood system already operates locally with Lagos residents. For the health layer we are partnering with the Lagos State Primary Healthcare Development Authority (LSPHCDA), which owns the CHEW workforce and the DHIS2 data, so the innovation is embedded in the government frontline rather than parallel to it. We are adding Lagos-based malaria and entomology expertise and a biostatistics partner (see team section) so that clinical, vector, and evaluation judgement is local and resident. Community health workers are treated as co-designers and partners, not just alert recipients: they shape message wording, timing, and the response protocol, and their field reports retrain the system.</w:t>
      </w:r>
    </w:p>
    <w:p>
      <w:r>
        <w:rPr>
          <w:i/>
          <w:color w:val="1B7FA8"/>
          <w:sz w:val="17"/>
        </w:rPr>
        <w:t>[1,163 / 1,500 characters]</w:t>
      </w:r>
    </w:p>
    <w:p/>
    <w:p>
      <w:r>
        <w:br w:type="page"/>
      </w:r>
    </w:p>
    <w:p>
      <w:pPr>
        <w:pBdr>
          <w:bottom w:val="single" w:sz="6" w:space="2" w:color="1B7FA8"/>
        </w:pBdr>
      </w:pPr>
      <w:r>
        <w:rPr>
          <w:b/>
          <w:color w:val="102B3C"/>
          <w:sz w:val="30"/>
        </w:rPr>
        <w:t>Execution Plan</w:t>
      </w:r>
    </w:p>
    <w:p>
      <w:r>
        <w:rPr>
          <w:b/>
          <w:color w:val="102B3C"/>
          <w:sz w:val="22"/>
        </w:rPr>
        <w:t>1. What is your proposed innovation execution plan?</w:t>
      </w:r>
    </w:p>
    <w:p>
      <w:r>
        <w:rPr>
          <w:i/>
          <w:color w:val="556670"/>
          <w:sz w:val="17"/>
        </w:rPr>
        <w:t>Activities, implementation strategy, milestones, timelines; how you improve within the PoC.</w:t>
      </w:r>
    </w:p>
    <w:p>
      <w:pPr>
        <w:spacing w:before="40"/>
      </w:pPr>
      <w:r>
        <w:t>The 18-month plan turns a live technical system into a field-tested, community-owned pilot across 5 intervention and 5 comparison LGAs. Months 1-2 (Foundation): finalise the LSPHCDA partnership and data-sharing agreement; obtain ethics/health-research approval (Lagos State Health Research Ethics Committee); replace placeholder DHIS2 org-unit UIDs with real ones; deploy the health database (migrations 001-002); confirm the malaria-commodity pathway (grant buffer stock plus LSPHCDA pipeline) and who authorises release. Months 2-3 (Enrolment &amp; co-design): with LSPHCDA, enrol and consent an initial CHEW cohort across intervention LGAs; run co-design workshops on message wording, timing, thresholds, and the response protocol; train CHEWs and PHC focal supervisors; test two-way SMS and OTP end-to-end beyond sandbox. Month 3 onward (Operate): the system runs daily through the rainy season; on flood events it scores risk, dispatches alerts, and logs every CHEW action; a PHC focal person triages alerts before mobilisation to limit false alarms. Months 3-12: field larval surveys at flagged sites test the Anopheles-vs-Culex assumption; interim review at Month 6 (response rate, alert-to-action time, entomology signal); at Month 9 we replace the rule-based prior's weights with parameters estimated from pilot data. Month 12: mid-term operational-outcome estimate and go/no-go to extend. Months 12-18: second-season operation, endline CHEW acceptability survey, exploratory DHIS2 case-trend analysis, pre-registered analysis of primary operational outcomes, and end-of-grant report with a costed scale plan. Learning is continuous: thresholds, message design, and targeting are refined each event from CHEW feedback and verification data.</w:t>
      </w:r>
    </w:p>
    <w:p>
      <w:r>
        <w:rPr>
          <w:i/>
          <w:color w:val="1B7FA8"/>
          <w:sz w:val="17"/>
        </w:rPr>
        <w:t>[1,745 / 3,000 characters]</w:t>
      </w:r>
    </w:p>
    <w:p/>
    <w:p>
      <w:r>
        <w:rPr>
          <w:b/>
          <w:color w:val="102B3C"/>
          <w:sz w:val="22"/>
        </w:rPr>
        <w:t>2. To what extent will members of the affected community be engaged in design, testing, evaluation and iteration?</w:t>
      </w:r>
    </w:p>
    <w:p>
      <w:r>
        <w:rPr>
          <w:i/>
          <w:color w:val="556670"/>
          <w:sz w:val="17"/>
        </w:rPr>
        <w:t>Human-rights based approach incl. gender equality; voices of the marginalised and vulnerable.</w:t>
      </w:r>
    </w:p>
    <w:p>
      <w:pPr>
        <w:spacing w:before="40"/>
      </w:pPr>
      <w:r>
        <w:t>Affected communities are engaged as co-designers throughout, not consulted once. CHEWs and PHC focal staff, who are themselves members of the served communities, co-design the alert content in Month 2-3 workshops: wording, local-language framing, timing, risk thresholds, and the CONFIRM/REPORT/HELP protocol are set WITH them, and iterated after every flood event based on their feedback and field reality. Their two-way SMS replies and larval-survey reports are a formal data stream that retrains the system, so frontline experience directly shapes the model. We apply a human-rights and gender lens: because women, pregnant women, and children under five carry disproportionate malaria burden and women are central to household net use, we ensure female CHEWs and community members are represented in co-design, and that messages and net-distribution guidance reflect their needs. Consent is explicit and revocable; CHEW participation is voluntary, stipended, and governed by the LSPHCDA relationship. An endline acceptability survey and structured feedback sessions give CHEWs and community representatives a formal voice in evaluating and iterating the innovation, and their input informs the go/no-go and scale decisions.</w:t>
      </w:r>
    </w:p>
    <w:p>
      <w:r>
        <w:rPr>
          <w:i/>
          <w:color w:val="1B7FA8"/>
          <w:sz w:val="17"/>
        </w:rPr>
        <w:t>[1,227 / 2,000 characters]</w:t>
      </w:r>
    </w:p>
    <w:p/>
    <w:p>
      <w:r>
        <w:rPr>
          <w:b/>
          <w:color w:val="102B3C"/>
          <w:sz w:val="22"/>
        </w:rPr>
        <w:t>3. What are the key implementation risks and challenges? How will you manage and mitigate these risks?</w:t>
      </w:r>
    </w:p>
    <w:p>
      <w:r>
        <w:rPr>
          <w:i/>
          <w:color w:val="556670"/>
          <w:sz w:val="17"/>
        </w:rPr>
        <w:t>Technical, execution, legal, political, safety, safeguarding, data-privacy, anti-corruption risks.</w:t>
      </w:r>
    </w:p>
    <w:p>
      <w:pPr>
        <w:spacing w:before="40"/>
      </w:pPr>
      <w:r>
        <w:t>Key risks and mitigations. (1) Partnership/data access: the pilot depends on LSPHCDA for CHEWs and DHIS2. Mitigation: secure the partnership and data-sharing agreement in Months 1-2 as a gating milestone before field spend; a letter of support is being obtained at application. (2) Scientific risk that urban floodwater breeds Culex (nuisance) not Anopheles (malaria): rather than assume the link, we instrument it with field larval surveys and treat Anopheles confirmation as a primary outcome; if the link proves weak in some habitats, that is itself a fundable PoC finding and we re-target to habitats that do breed Anopheles. (3) False alarms and alert fatigue: mitigated by a PHC focal-person triage step before mobilisation, an explicit all-clear message, confirmation tracking, and threshold tuning each event. (4) Commodity availability: an SMS to pre-position nets/RDTs is useless without stock, so the budget funds a buffer stock and we confirm the LSPHCDA release pathway up front. (5) Signal detectability: Lagos is lower-transmission and 5v5 LGAs are underpowered for case-counts, so we define success on operational outcomes and treat case data as exploratory. (6) Data privacy/safeguarding: CHEW phone numbers are PII, stored under row-level security, service-role access only, explicit consent, opt-out in every message, and a retention policy; residents are not personally identified. (7) Rainfall underestimation (ERA5/convective storms): mitigated by using near-real-time satellite rainfall and calibrating thresholds against observed events.</w:t>
      </w:r>
    </w:p>
    <w:p>
      <w:r>
        <w:rPr>
          <w:i/>
          <w:color w:val="1B7FA8"/>
          <w:sz w:val="17"/>
        </w:rPr>
        <w:t>[1,561 / 2,000 characters]</w:t>
      </w:r>
    </w:p>
    <w:p/>
    <w:p>
      <w:r>
        <w:br w:type="page"/>
      </w:r>
    </w:p>
    <w:p>
      <w:pPr>
        <w:pBdr>
          <w:bottom w:val="single" w:sz="6" w:space="2" w:color="1B7FA8"/>
        </w:pBdr>
      </w:pPr>
      <w:r>
        <w:rPr>
          <w:b/>
          <w:color w:val="102B3C"/>
          <w:sz w:val="30"/>
        </w:rPr>
        <w:t>Impact</w:t>
      </w:r>
    </w:p>
    <w:p>
      <w:r>
        <w:rPr>
          <w:b/>
          <w:color w:val="102B3C"/>
          <w:sz w:val="22"/>
        </w:rPr>
        <w:t>4. What is the expected impact you anticipate over the proposed implementation period?</w:t>
      </w:r>
    </w:p>
    <w:p>
      <w:r>
        <w:rPr>
          <w:i/>
          <w:color w:val="556670"/>
          <w:sz w:val="17"/>
        </w:rPr>
        <w:t>Reach, health &amp; wellbeing impacts, progress against priority outcomes; key assumptions.</w:t>
      </w:r>
    </w:p>
    <w:p>
      <w:pPr>
        <w:spacing w:before="40"/>
      </w:pPr>
      <w:r>
        <w:t>Over 18 months we expect to: enrol and sustain an active CHEW cohort across 5 intervention LGAs (population reach in the hundreds of thousands); run the system live through two rainy seasons; and dispatch and log alerts for every qualifying flood event. Expected results, framed as reach and operational performance: a majority of alerts acknowledged by CHEWs within 48 hours (target &gt;=60%); a short, measurable alert-to-action time; and a substantial share of Moderate+ alerts followed by commodity pre-positioning BEFORE the risk window opens, demonstrating that anticipatory, climate-triggered prevention is operationally real. We expect field larval surveys to quantify, for the first time in these wards, what fraction of flood-flagged sites actually breed Anopheles, directly evidencing (or usefully bounding) the flood-malaria pathway in urban Lagos. We anticipate early, directional DHIS2 signals of better-timed testing/treatment in intervention vs comparison LGAs, reported honestly as exploratory. Key assumptions: LSPHCDA partnership and CHEW enrolment proceed on schedule; commodity buffer stock is available; and at least one substantive flood season occurs in the window (Lagos floods most years). The lasting impact is a validated, transferable capability for anticipatory climate-to-health action, plus the evidence base needed for a Transition-to-Scale malaria-outcome trial.</w:t>
      </w:r>
    </w:p>
    <w:p>
      <w:r>
        <w:rPr>
          <w:i/>
          <w:color w:val="1B7FA8"/>
          <w:sz w:val="17"/>
        </w:rPr>
        <w:t>[1,393 / 2,000 characters]</w:t>
      </w:r>
    </w:p>
    <w:p/>
    <w:p>
      <w:r>
        <w:rPr>
          <w:b/>
          <w:color w:val="102B3C"/>
          <w:sz w:val="22"/>
        </w:rPr>
        <w:t>5. What is the Proof of Concept you are trying to establish, and what specific results will determine success?</w:t>
      </w:r>
    </w:p>
    <w:p>
      <w:r>
        <w:rPr>
          <w:i/>
          <w:color w:val="556670"/>
          <w:sz w:val="17"/>
        </w:rPr>
        <w:t>The PoC + 4-6 measurable outcome objectives to monitor over the pilot.</w:t>
      </w:r>
    </w:p>
    <w:p>
      <w:pPr>
        <w:spacing w:before="40"/>
      </w:pPr>
      <w:r>
        <w:t>Proof of concept to establish: that satellite flood signals can drive timely, trusted, correctly-targeted anticipatory malaria-prevention action by government CHEWs in flood-exposed Lagos communities, and that the underlying flood-to-vector link is measurable. Success is defined by 6 measurable objectives: (O1) Reach/acceptability: &gt;=60% of alerts acknowledged (CONFIRM) by CHEWs within 48 hours. (O2) Timeliness: median alert-to-action time under 72 hours from dispatch to first logged pre-positioning action. (O3) Anticipation: &gt;=50% of Moderate+ alerts followed by a commodity pre-positioning action BEFORE the outbreak window opens. (O4) Causal validation: larval surveys completed at &gt;=80% of flagged high-risk sites, with the Anopheles-positive fraction quantified (CI reported). (O5) Trust/sustained use: CHEW response rate maintained across the season and &gt;=70% of CHEWs rating the alerts useful at endline. (O6) Model learning: risk-prior weights re-estimated from pilot data and shown to improve ward-level ranking vs the initial expert prior. These are monitored continuously via the operational-KPI endpoint and dashboard, and are achievable and adequately powered at the alert/action/site level within 18 months, unlike a population case-count effect.</w:t>
      </w:r>
    </w:p>
    <w:p>
      <w:r>
        <w:rPr>
          <w:i/>
          <w:color w:val="1B7FA8"/>
          <w:sz w:val="17"/>
        </w:rPr>
        <w:t>[1,266 / 2,000 characters]</w:t>
      </w:r>
    </w:p>
    <w:p/>
    <w:p>
      <w:r>
        <w:rPr>
          <w:b/>
          <w:color w:val="102B3C"/>
          <w:sz w:val="22"/>
        </w:rPr>
        <w:t>6. What is your monitoring and evaluation plan?</w:t>
      </w:r>
    </w:p>
    <w:p>
      <w:r>
        <w:rPr>
          <w:i/>
          <w:color w:val="556670"/>
          <w:sz w:val="17"/>
        </w:rPr>
        <w:t>Measurement approach, tools, analysis methods, limitations; performance vs existing approaches.</w:t>
      </w:r>
    </w:p>
    <w:p>
      <w:pPr>
        <w:spacing w:before="40"/>
      </w:pPr>
      <w:r>
        <w:t>We use a mixed-methods, comparison-based design. PRIMARY outcomes are operational/intermediary and measured at the alert, action, and site level (n in the hundreds), where the pilot is adequately powered: alert acknowledgement rate (CHEW CONFIRM replies / alerts), alert-to-action time (timestamp of alert vs first logged action), anticipatory-action rate (actions before the risk window), and entomological confirmation (Anopheles-positive fraction of larval-surveyed flagged sites). Measurement tools: automated logging of every alert and CHEW reply in Supabase; a structured CHEW action log (nets, RDTs, larval-source management); standardised WHO larval-dip surveys with morphological/where-possible PCR species ID; and an endline CHEW acceptability survey plus qualitative feedback sessions. Analysis: descriptive rates with confidence intervals, and an event-study/difference-in-differences comparing intervention vs matched comparison LGAs with LGA fixed effects, pre-registered. SECONDARY/exploratory: DHIS2 confirmed malaria cases per 100,000, intervention vs comparison, per flood window. Limitations we state plainly: 5v5 LGA clusters are underpowered for causal case-count attribution; RDT pre-positioning can INCREASE detected cases through better case-finding, so a raw case reduction is not the success criterion; DHIS2 is passive facility data with completeness and stockout variation. We therefore treat case data as a directional signal for a future scale-stage trial, not the PoC endpoint. On value-for-money, we benchmark anticipatory vs reactive deployment on timeliness (days earlier) and cost per alert (SMS ~&lt;2 euro-cents), since the system runs on open data and free-tier compute.</w:t>
      </w:r>
    </w:p>
    <w:p>
      <w:r>
        <w:rPr>
          <w:i/>
          <w:color w:val="1B7FA8"/>
          <w:sz w:val="17"/>
        </w:rPr>
        <w:t>[1,705 / 2,500 characters]</w:t>
      </w:r>
    </w:p>
    <w:p/>
    <w:p>
      <w:r>
        <w:rPr>
          <w:b/>
          <w:color w:val="102B3C"/>
          <w:sz w:val="22"/>
        </w:rPr>
        <w:t>7. How is this innovation designed to consider sustainability at this early Proof of Concept stage?</w:t>
      </w:r>
    </w:p>
    <w:p>
      <w:r>
        <w:rPr>
          <w:i/>
          <w:color w:val="556670"/>
          <w:sz w:val="17"/>
        </w:rPr>
        <w:t>Sustaining quality impact + financing operations; barriers and how addressed.</w:t>
      </w:r>
    </w:p>
    <w:p>
      <w:pPr>
        <w:spacing w:before="40"/>
      </w:pPr>
      <w:r>
        <w:t>Sustainability is designed in three ways. (1) Institutional: the innovation runs THROUGH LSPHCDA's existing CHEW workforce and DHIS2, not parallel to it, so there is no standalone service to keep alive; if it works, it becomes a feature of an existing government programme. We involve LSPHCDA from Month 1 so ownership is shared, not handed over at the end. (2) Financial/operational: the marginal cost is deliberately tiny. Flood modelling uses free satellite data and free-tier compute; the only per-event cost is SMS at roughly under 2 euro-cents per message. This makes ongoing operation affordable within a state PHC budget or a modest partner subsidy, unlike commercial risk platforms. (3) Technical: the code is open and documented, the risk engine is transparent (not a proprietary black box), and the flood core is retargetable to other cities by changing configuration, so the capability is portable rather than locked to one vendor. Barriers to sustainability we anticipate: commodity supply (addressed by integrating with the LSPHCDA pipeline rather than creating a separate one), CHEW incentive continuity (addressed by embedding alerts into routine duties rather than adding a parallel workload), and the need for stronger malaria-outcome evidence to justify state adoption (which the PoC begins and a Transition-to-Scale phase would complete).</w:t>
      </w:r>
    </w:p>
    <w:p>
      <w:r>
        <w:rPr>
          <w:i/>
          <w:color w:val="1B7FA8"/>
          <w:sz w:val="17"/>
        </w:rPr>
        <w:t>[1,358 / 2,000 characters]</w:t>
      </w:r>
    </w:p>
    <w:p/>
    <w:p>
      <w:r>
        <w:br w:type="page"/>
      </w:r>
    </w:p>
    <w:p>
      <w:pPr>
        <w:pBdr>
          <w:bottom w:val="single" w:sz="6" w:space="2" w:color="1B7FA8"/>
        </w:pBdr>
      </w:pPr>
      <w:r>
        <w:rPr>
          <w:b/>
          <w:color w:val="102B3C"/>
          <w:sz w:val="30"/>
        </w:rPr>
        <w:t>Project Team</w:t>
      </w:r>
    </w:p>
    <w:p>
      <w:r>
        <w:rPr>
          <w:b/>
          <w:color w:val="102B3C"/>
          <w:sz w:val="22"/>
        </w:rPr>
        <w:t>8. Describe the relevant experience and professional backgrounds of the Project Lead and key team members.</w:t>
      </w:r>
    </w:p>
    <w:p>
      <w:r>
        <w:rPr>
          <w:i/>
          <w:color w:val="556670"/>
          <w:sz w:val="17"/>
        </w:rPr>
        <w:t>How the team is positioned to implement and evaluate; collaborator roles.</w:t>
      </w:r>
    </w:p>
    <w:p>
      <w:pPr>
        <w:spacing w:before="40"/>
      </w:pPr>
      <w:r>
        <w:t>Rankine Innovation Lab is a Nigeria-based innovation team; our co-founders are resident in Lagos. Habeeb Adegoke (Project Lead) built and deployed the live FloodSight geospatial flood-intelligence system (open satellite data, 200 m grid, FastAPI backend, SMS alerting, automated test suite) and leads the technical architecture, data engineering, and MEL instrumentation. [Co-founder / Nigeria Operations Lead - name] leads local partnerships, CHEW engagement, and field operations in Lagos. To ensure clinical, vector, and evaluation judgement is local and expert, the team is adding: a Lagos-based malaria epidemiologist/medical entomologist [name/institution, e.g. UNILAG College of Medicine / NIMR] to lead the larval-survey protocol and species identification and to advise on the causal design; and a biostatistician [name/institution] to own the pre-registered analysis plan and power considerations. An LSPHCDA focal person [name/title] anchors CHEW roster access, DHIS2 integration, and commodity-pathway approvals. Together the team covers the four capabilities this PoC needs: satellite/software engineering (proven, live system), malaria epidemiology and entomology, health-systems and government integration, and rigorous MEL/biostatistics.</w:t>
      </w:r>
    </w:p>
    <w:p>
      <w:r>
        <w:rPr>
          <w:i/>
          <w:color w:val="1B7FA8"/>
          <w:sz w:val="17"/>
        </w:rPr>
        <w:t>[1,253 / 1,500 characters]</w:t>
      </w:r>
    </w:p>
    <w:p/>
    <w:p>
      <w:r>
        <w:rPr>
          <w:b/>
          <w:color w:val="102B3C"/>
          <w:sz w:val="22"/>
        </w:rPr>
        <w:t>9. Have the project team and collaborators previously worked with diverse partners (private, public, health-sector)?</w:t>
      </w:r>
    </w:p>
    <w:p>
      <w:r>
        <w:rPr>
          <w:i/>
          <w:color w:val="556670"/>
          <w:sz w:val="17"/>
        </w:rPr>
        <w:t>Types of partners, context, key outcomes.</w:t>
      </w:r>
    </w:p>
    <w:p>
      <w:pPr>
        <w:spacing w:before="40"/>
      </w:pPr>
      <w:r>
        <w:t>The team has delivered a working, publicly deployed climate system (FloodSight) used with Lagos residents, demonstrating capacity to ship and operate real infrastructure, not just prototypes. Our flood work has engaged community subscribers and local stakeholders in Lagos, and we are now formalising a public-sector partnership with the Lagos State Primary Healthcare Development Authority (LSPHCDA) for the health layer, giving us direct collaboration with a government health actor that owns the CHEW workforce and DHIS2. The planned collaborators bring their own institutional partnerships: the malaria/entomology partner connects us to Nigerian malaria research and vector-surveillance networks, and the biostatistics partner brings evaluation-design experience. Across the project we work at the intersection of public sector (state PHC authority), academic /research (malaria and entomology institutions), and technology/private (satellite-data and SMS providers such as Africa's Talking), and the model is explicitly built to strengthen rather than bypass the existing government system. [Add any prior named collaborations, grants, or institutional MOUs here.]</w:t>
      </w:r>
    </w:p>
    <w:p>
      <w:r>
        <w:rPr>
          <w:i/>
          <w:color w:val="1B7FA8"/>
          <w:sz w:val="17"/>
        </w:rPr>
        <w:t>[1,169 / 1,500 characters]</w:t>
      </w:r>
    </w:p>
    <w:p/>
    <w:p>
      <w:pPr>
        <w:pBdr>
          <w:bottom w:val="single" w:sz="6" w:space="2" w:color="1B7FA8"/>
        </w:pBdr>
      </w:pPr>
      <w:r>
        <w:rPr>
          <w:b/>
          <w:color w:val="102B3C"/>
          <w:sz w:val="30"/>
        </w:rPr>
        <w:t>Budget  (illustrative — total USD 200,000 over 18 months)</w:t>
      </w:r>
    </w:p>
    <w:p>
      <w:r>
        <w:rPr>
          <w:b/>
          <w:color w:val="1B7FA8"/>
          <w:sz w:val="17"/>
        </w:rPr>
        <w:t>INDICATIVE ALLOCATION. CONFIRM EXACT FIGURES WITH LSPHCDA AND COLLABORATORS BEFORE SUBMISSION.</w:t>
      </w:r>
    </w:p>
    <w:p/>
    <w:tbl>
      <w:tblPr>
        <w:tblStyle w:val="LightGrid-Accent1"/>
        <w:tblW w:type="auto" w:w="0"/>
        <w:jc w:val="center"/>
        <w:tblLook w:firstColumn="1" w:firstRow="1" w:lastColumn="0" w:lastRow="0" w:noHBand="0" w:noVBand="1" w:val="04A0"/>
      </w:tblPr>
      <w:tblGrid>
        <w:gridCol w:w="2880"/>
        <w:gridCol w:w="2880"/>
        <w:gridCol w:w="2880"/>
      </w:tblGrid>
      <w:tr>
        <w:tc>
          <w:tcPr>
            <w:tcW w:type="dxa" w:w="3312"/>
            <w:shd w:val="clear" w:fill="1B7FA8"/>
          </w:tcPr>
          <w:p>
            <w:r>
              <w:rPr>
                <w:b/>
                <w:color w:val="FFFFFF"/>
                <w:sz w:val="19"/>
              </w:rPr>
              <w:t>Budget category</w:t>
            </w:r>
          </w:p>
        </w:tc>
        <w:tc>
          <w:tcPr>
            <w:tcW w:type="dxa" w:w="1440"/>
            <w:shd w:val="clear" w:fill="1B7FA8"/>
          </w:tcPr>
          <w:p>
            <w:r>
              <w:rPr>
                <w:b/>
                <w:color w:val="FFFFFF"/>
                <w:sz w:val="19"/>
              </w:rPr>
              <w:t>USD</w:t>
            </w:r>
          </w:p>
        </w:tc>
        <w:tc>
          <w:tcPr>
            <w:tcW w:type="dxa" w:w="4608"/>
            <w:shd w:val="clear" w:fill="1B7FA8"/>
          </w:tcPr>
          <w:p>
            <w:r>
              <w:rPr>
                <w:b/>
                <w:color w:val="FFFFFF"/>
                <w:sz w:val="19"/>
              </w:rPr>
              <w:t>Description of cost</w:t>
            </w:r>
          </w:p>
        </w:tc>
      </w:tr>
      <w:tr>
        <w:tc>
          <w:tcPr>
            <w:tcW w:type="dxa" w:w="3312"/>
          </w:tcPr>
          <w:p>
            <w:r>
              <w:rPr>
                <w:b/>
                <w:sz w:val="18"/>
              </w:rPr>
              <w:t>Remuneration</w:t>
            </w:r>
          </w:p>
        </w:tc>
        <w:tc>
          <w:tcPr>
            <w:tcW w:type="dxa" w:w="1440"/>
          </w:tcPr>
          <w:p>
            <w:r>
              <w:rPr>
                <w:sz w:val="18"/>
              </w:rPr>
              <w:t>96,000</w:t>
            </w:r>
          </w:p>
        </w:tc>
        <w:tc>
          <w:tcPr>
            <w:tcW w:type="dxa" w:w="4608"/>
          </w:tcPr>
          <w:p>
            <w:r>
              <w:rPr>
                <w:sz w:val="17"/>
              </w:rPr>
              <w:t>Project Lead, Nigeria Operations/CHEW-engagement Lead, part-time data/MEL officer (18 mo, Lagos rates).</w:t>
            </w:r>
          </w:p>
        </w:tc>
      </w:tr>
      <w:tr>
        <w:tc>
          <w:tcPr>
            <w:tcW w:type="dxa" w:w="3312"/>
          </w:tcPr>
          <w:p>
            <w:r>
              <w:rPr>
                <w:b/>
                <w:sz w:val="18"/>
              </w:rPr>
              <w:t>Subcontractor Fees</w:t>
            </w:r>
          </w:p>
        </w:tc>
        <w:tc>
          <w:tcPr>
            <w:tcW w:type="dxa" w:w="1440"/>
          </w:tcPr>
          <w:p>
            <w:r>
              <w:rPr>
                <w:sz w:val="18"/>
              </w:rPr>
              <w:t>34,000</w:t>
            </w:r>
          </w:p>
        </w:tc>
        <w:tc>
          <w:tcPr>
            <w:tcW w:type="dxa" w:w="4608"/>
          </w:tcPr>
          <w:p>
            <w:r>
              <w:rPr>
                <w:sz w:val="17"/>
              </w:rPr>
              <w:t>Malaria epidemiologist/entomologist (larval-survey protocol + species ID) and biostatistician (pre-registered analysis).</w:t>
            </w:r>
          </w:p>
        </w:tc>
      </w:tr>
      <w:tr>
        <w:tc>
          <w:tcPr>
            <w:tcW w:type="dxa" w:w="3312"/>
          </w:tcPr>
          <w:p>
            <w:r>
              <w:rPr>
                <w:b/>
                <w:sz w:val="18"/>
              </w:rPr>
              <w:t>Goods and Supplies</w:t>
            </w:r>
          </w:p>
        </w:tc>
        <w:tc>
          <w:tcPr>
            <w:tcW w:type="dxa" w:w="1440"/>
          </w:tcPr>
          <w:p>
            <w:r>
              <w:rPr>
                <w:sz w:val="18"/>
              </w:rPr>
              <w:t>24,000</w:t>
            </w:r>
          </w:p>
        </w:tc>
        <w:tc>
          <w:tcPr>
            <w:tcW w:type="dxa" w:w="4608"/>
          </w:tcPr>
          <w:p>
            <w:r>
              <w:rPr>
                <w:sz w:val="17"/>
              </w:rPr>
              <w:t>Buffer stock of LLIN bed nets + malaria RDT kits for anticipatory pre-positioning; larval-survey dippers/consumables.</w:t>
            </w:r>
          </w:p>
        </w:tc>
      </w:tr>
      <w:tr>
        <w:tc>
          <w:tcPr>
            <w:tcW w:type="dxa" w:w="3312"/>
          </w:tcPr>
          <w:p>
            <w:r>
              <w:rPr>
                <w:b/>
                <w:sz w:val="18"/>
              </w:rPr>
              <w:t>Travel Costs</w:t>
            </w:r>
          </w:p>
        </w:tc>
        <w:tc>
          <w:tcPr>
            <w:tcW w:type="dxa" w:w="1440"/>
          </w:tcPr>
          <w:p>
            <w:r>
              <w:rPr>
                <w:sz w:val="18"/>
              </w:rPr>
              <w:t>12,000</w:t>
            </w:r>
          </w:p>
        </w:tc>
        <w:tc>
          <w:tcPr>
            <w:tcW w:type="dxa" w:w="4608"/>
          </w:tcPr>
          <w:p>
            <w:r>
              <w:rPr>
                <w:sz w:val="17"/>
              </w:rPr>
              <w:t>Field visits across 5 LGAs, CHEW training, LSPHCDA engagement, larval surveys.</w:t>
            </w:r>
          </w:p>
        </w:tc>
      </w:tr>
      <w:tr>
        <w:tc>
          <w:tcPr>
            <w:tcW w:type="dxa" w:w="3312"/>
          </w:tcPr>
          <w:p>
            <w:r>
              <w:rPr>
                <w:b/>
                <w:sz w:val="18"/>
              </w:rPr>
              <w:t>Project Administration Costs</w:t>
            </w:r>
          </w:p>
        </w:tc>
        <w:tc>
          <w:tcPr>
            <w:tcW w:type="dxa" w:w="1440"/>
          </w:tcPr>
          <w:p>
            <w:r>
              <w:rPr>
                <w:sz w:val="18"/>
              </w:rPr>
              <w:t>9,000</w:t>
            </w:r>
          </w:p>
        </w:tc>
        <w:tc>
          <w:tcPr>
            <w:tcW w:type="dxa" w:w="4608"/>
          </w:tcPr>
          <w:p>
            <w:r>
              <w:rPr>
                <w:sz w:val="17"/>
              </w:rPr>
              <w:t>CHEW stipends/airtime, SMS credits (Africa's Talking), cloud/hosting, ethics &amp; data-agreement fees.</w:t>
            </w:r>
          </w:p>
        </w:tc>
      </w:tr>
      <w:tr>
        <w:tc>
          <w:tcPr>
            <w:tcW w:type="dxa" w:w="3312"/>
          </w:tcPr>
          <w:p>
            <w:r>
              <w:rPr>
                <w:b/>
                <w:sz w:val="18"/>
              </w:rPr>
              <w:t>Equipment Costs</w:t>
            </w:r>
          </w:p>
        </w:tc>
        <w:tc>
          <w:tcPr>
            <w:tcW w:type="dxa" w:w="1440"/>
          </w:tcPr>
          <w:p>
            <w:r>
              <w:rPr>
                <w:sz w:val="18"/>
              </w:rPr>
              <w:t>4,000</w:t>
            </w:r>
          </w:p>
        </w:tc>
        <w:tc>
          <w:tcPr>
            <w:tcW w:type="dxa" w:w="4608"/>
          </w:tcPr>
          <w:p>
            <w:r>
              <w:rPr>
                <w:sz w:val="17"/>
              </w:rPr>
              <w:t>Field phones/tablets for supervisors, larval-ID field microscope/kit.</w:t>
            </w:r>
          </w:p>
        </w:tc>
      </w:tr>
      <w:tr>
        <w:tc>
          <w:tcPr>
            <w:tcW w:type="dxa" w:w="3312"/>
          </w:tcPr>
          <w:p>
            <w:r>
              <w:rPr>
                <w:b/>
                <w:sz w:val="18"/>
              </w:rPr>
              <w:t>Sub-grants</w:t>
            </w:r>
          </w:p>
        </w:tc>
        <w:tc>
          <w:tcPr>
            <w:tcW w:type="dxa" w:w="1440"/>
          </w:tcPr>
          <w:p>
            <w:r>
              <w:rPr>
                <w:sz w:val="18"/>
              </w:rPr>
              <w:t>3,000</w:t>
            </w:r>
          </w:p>
        </w:tc>
        <w:tc>
          <w:tcPr>
            <w:tcW w:type="dxa" w:w="4608"/>
          </w:tcPr>
          <w:p>
            <w:r>
              <w:rPr>
                <w:sz w:val="17"/>
              </w:rPr>
              <w:t>Small community-sensitisation micro-grants via PHC facilities.</w:t>
            </w:r>
          </w:p>
        </w:tc>
      </w:tr>
      <w:tr>
        <w:tc>
          <w:tcPr>
            <w:tcW w:type="dxa" w:w="3312"/>
          </w:tcPr>
          <w:p>
            <w:r>
              <w:rPr>
                <w:b/>
                <w:sz w:val="18"/>
              </w:rPr>
              <w:t>Indirect costs (max 10%)</w:t>
            </w:r>
          </w:p>
        </w:tc>
        <w:tc>
          <w:tcPr>
            <w:tcW w:type="dxa" w:w="1440"/>
          </w:tcPr>
          <w:p>
            <w:r>
              <w:rPr>
                <w:sz w:val="18"/>
              </w:rPr>
              <w:t>18,000</w:t>
            </w:r>
          </w:p>
        </w:tc>
        <w:tc>
          <w:tcPr>
            <w:tcW w:type="dxa" w:w="4608"/>
          </w:tcPr>
          <w:p>
            <w:r>
              <w:rPr>
                <w:sz w:val="17"/>
              </w:rPr>
              <w:t>Organisational overhead (&lt;=10% of direct costs).</w:t>
            </w:r>
          </w:p>
        </w:tc>
      </w:tr>
      <w:tr>
        <w:tc>
          <w:tcPr>
            <w:tcW w:type="dxa" w:w="2880"/>
            <w:shd w:val="clear" w:fill="DCEDF5"/>
          </w:tcPr>
          <w:p>
            <w:r>
              <w:rPr>
                <w:b/>
                <w:sz w:val="19"/>
              </w:rPr>
              <w:t>TOTAL</w:t>
            </w:r>
          </w:p>
        </w:tc>
        <w:tc>
          <w:tcPr>
            <w:tcW w:type="dxa" w:w="2880"/>
            <w:shd w:val="clear" w:fill="DCEDF5"/>
          </w:tcPr>
          <w:p>
            <w:r>
              <w:rPr>
                <w:b/>
                <w:sz w:val="19"/>
              </w:rPr>
              <w:t>200,000</w:t>
            </w:r>
          </w:p>
        </w:tc>
        <w:tc>
          <w:tcPr>
            <w:tcW w:type="dxa" w:w="2880"/>
            <w:shd w:val="clear" w:fill="DCEDF5"/>
          </w:tcPr>
          <w:p>
            <w:r>
              <w:rPr>
                <w:sz w:val="17"/>
              </w:rPr>
              <w:t>Direct 182,000 + indirect 18,000 (9.9%).</w:t>
            </w:r>
          </w:p>
        </w:tc>
      </w:tr>
    </w:tbl>
    <w:p/>
    <w:p>
      <w:pPr>
        <w:pBdr>
          <w:bottom w:val="single" w:sz="6" w:space="2" w:color="1B7FA8"/>
        </w:pBdr>
      </w:pPr>
      <w:r>
        <w:rPr>
          <w:b/>
          <w:color w:val="102B3C"/>
          <w:sz w:val="30"/>
        </w:rPr>
        <w:t>Additional Information</w:t>
      </w:r>
    </w:p>
    <w:p>
      <w:r>
        <w:rPr>
          <w:b/>
          <w:sz w:val="20"/>
        </w:rPr>
        <w:t xml:space="preserve">Previously applied to / awarded by Grand Challenges Canada:  </w:t>
      </w:r>
      <w:r>
        <w:rPr>
          <w:sz w:val="20"/>
        </w:rPr>
        <w:t>No - this is our first application to Grand Challenges Canada.</w:t>
      </w:r>
    </w:p>
    <w:p>
      <w:r>
        <w:rPr>
          <w:b/>
          <w:sz w:val="20"/>
        </w:rPr>
        <w:t>Selected citations &amp; references:</w:t>
      </w:r>
    </w:p>
    <w:p>
      <w:pPr>
        <w:ind w:left="360"/>
      </w:pPr>
      <w:r>
        <w:rPr>
          <w:color w:val="556670"/>
          <w:sz w:val="18"/>
        </w:rPr>
        <w:t>• Bayoh MN, Lindsay SW (2003). Effect of temperature on the development of the aquatic stages of Anopheles gambiae sensu stricto. Malaria Journal / Bulletin of Entomological Research.</w:t>
      </w:r>
    </w:p>
    <w:p>
      <w:pPr>
        <w:ind w:left="360"/>
      </w:pPr>
      <w:r>
        <w:rPr>
          <w:color w:val="556670"/>
          <w:sz w:val="18"/>
        </w:rPr>
        <w:t>• Oduola AO et al. (2012). Abundance and diversity of Anopheles species in relation to environmental factors, Nigeria. Acta Tropica.</w:t>
      </w:r>
    </w:p>
    <w:p>
      <w:pPr>
        <w:ind w:left="360"/>
      </w:pPr>
      <w:r>
        <w:rPr>
          <w:color w:val="556670"/>
          <w:sz w:val="18"/>
        </w:rPr>
        <w:t>• Edeghere O et al. (2018). Rainfall, flooding and malaria transmission dynamics, Nigeria. Malaria Journal.</w:t>
      </w:r>
    </w:p>
    <w:p>
      <w:pPr>
        <w:ind w:left="360"/>
      </w:pPr>
      <w:r>
        <w:rPr>
          <w:color w:val="556670"/>
          <w:sz w:val="18"/>
        </w:rPr>
        <w:t>• WHO/WMO (2022). Climate services for malaria early warning; INFORM climate risk index (comparators).</w:t>
      </w:r>
    </w:p>
    <w:p>
      <w:pPr>
        <w:ind w:left="360"/>
      </w:pPr>
      <w:r>
        <w:rPr>
          <w:color w:val="556670"/>
          <w:sz w:val="18"/>
        </w:rPr>
        <w:t>• IPCC (2022). Climate Change 2022: Impacts, Adaptation and Vulnerability (WGII, AR6) — climate-health pathways.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