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7A4B1D"/>
          <w:sz w:val="18"/>
        </w:rPr>
        <w:t>DOCUMENT PACK OVERVIEW</w:t>
      </w:r>
    </w:p>
    <w:p>
      <w:pPr>
        <w:pStyle w:val="Title"/>
      </w:pPr>
      <w:r>
        <w:t>Rankine Knowledge Hub — First-Wave Document Pack</w:t>
      </w:r>
    </w:p>
    <w:p>
      <w:r>
        <w:rPr>
          <w:sz w:val="21"/>
        </w:rPr>
        <w:t>This pack contains one working brief per first-wave Knowledge Hub piece. Each document is intended as a clean production file for review, drafting, website planning, or handoff to Codex.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0E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7A4B1D"/>
                <w:sz w:val="19"/>
              </w:rPr>
              <w:t>What these files are for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sz w:val="18"/>
              </w:rPr>
              <w:t>One-file-per-piece planning and drafting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sz w:val="18"/>
              </w:rPr>
              <w:t>Clean handoff to Codex or human writers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sz w:val="18"/>
              </w:rPr>
              <w:t>Consistent metadata, slug, outline, and visual direction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sz w:val="18"/>
              </w:rPr>
              <w:t>A practical bridge between the deep-dive master report and full content drafting</w:t>
            </w:r>
          </w:p>
        </w:tc>
      </w:tr>
    </w:tbl>
    <w:p/>
    <w:p>
      <w:r>
        <w:t>Source basis: This pack was created from the uploaded master document, “Knowledge Hub Content Deep‑Dive for Rankine Innovation Lab”.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648"/>
            <w:shd w:fill="EDE3D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A2719"/>
                <w:sz w:val="18"/>
              </w:rPr>
              <w:t>No.</w:t>
            </w:r>
          </w:p>
        </w:tc>
        <w:tc>
          <w:tcPr>
            <w:tcW w:type="dxa" w:w="4752"/>
            <w:shd w:fill="EDE3D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A2719"/>
                <w:sz w:val="18"/>
              </w:rPr>
              <w:t>Document</w:t>
            </w:r>
          </w:p>
        </w:tc>
        <w:tc>
          <w:tcPr>
            <w:tcW w:type="dxa" w:w="1440"/>
            <w:shd w:fill="EDE3D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A2719"/>
                <w:sz w:val="18"/>
              </w:rPr>
              <w:t>Type</w:t>
            </w:r>
          </w:p>
        </w:tc>
        <w:tc>
          <w:tcPr>
            <w:tcW w:type="dxa" w:w="2448"/>
            <w:shd w:fill="EDE3D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A2719"/>
                <w:sz w:val="18"/>
              </w:rPr>
              <w:t>Domain</w:t>
            </w:r>
          </w:p>
        </w:tc>
        <w:tc>
          <w:tcPr>
            <w:tcW w:type="dxa" w:w="1152"/>
            <w:shd w:fill="EDE3D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A2719"/>
                <w:sz w:val="18"/>
              </w:rPr>
              <w:t>Priority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RAG for STEM Decision Support: A Practical Primer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Explainer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AI for STEM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Circular Economy for Construction: From Concept to Decisions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Explainer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Sustainability &amp; Circularity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Climate-Smart Agriculture: The Three Pillars and How to Measure Them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Explainer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Smart Agriculture &amp; Food Security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Mycelium and Soil Resilience: What the Evidence Shows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Explainer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Sustainability &amp; Circularity / Cross-Disciplinary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The Rankine Method: A Research-to-Action Framework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Framework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Cross-Disciplinary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AI Assurance for STEM Teams: A Practical Risk Framework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Framework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AI for STEM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Circularity Readiness Matrix: Turning Barriers into Moves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Framework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Sustainability &amp; Circularity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Water Intelligence Maturity Model: From Reactive to Predictive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Framework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Cross-Disciplinary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Playbook: Build a RAG Assistant for Technical Documents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Playbook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AI for STEM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Playbook: Deploy an Explainable Model as a Lightweight Web App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Playbook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Cross-Disciplinary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11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Playbook: Designing a Mycelium-Based Soil Stabilisation Pilot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Playbook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Sustainability &amp; Circularity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12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Playbook: Build a Climate-Smart Agriculture Monitoring Dashboard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Playbook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Smart Agriculture &amp; Food Security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13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Using SHAP Responsibly in Decision Support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Lab Note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Cross-Disciplinary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14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Bayesian Optimisation vs TPE vs Manual Tuning: Practical Decision Rules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Lab Note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Cross-Disciplinary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Data Splitting and Evaluation Realism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Lab Note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Cross-Disciplinary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9F6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Medium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16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Rapid Systematic Review and Evidence Synthesis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Lab Note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Cross-Disciplinary Innovation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Medium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0E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7A4B1D"/>
                <w:sz w:val="19"/>
              </w:rPr>
              <w:t>Recommended next step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sz w:val="18"/>
              </w:rPr>
              <w:t>Use these briefs to approve titles, slugs, and visual direction first.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sz w:val="18"/>
              </w:rPr>
              <w:t>Then draft the full pieces in publishing order rather than all at once.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sz w:val="18"/>
              </w:rPr>
              <w:t>For the website, keep the Knowledge Hub as the index and publish each piece on its own page.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864" w:right="1080" w:bottom="86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7"/>
      </w:rPr>
      <w:t>Rankine Innovation Lab — Knowledge Hub Content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A4B1D"/>
        <w:sz w:val="16"/>
      </w:rPr>
      <w:t>Working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A2719"/>
      <w:sz w:val="30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5A3C23"/>
      <w:sz w:val="25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A3C23"/>
      <w:sz w:val="22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  <w:rPr>
      <w:lang w:val="en-GB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218"/>
      <w:spacing w:val="5"/>
      <w:kern w:val="28"/>
      <w:sz w:val="44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n-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n-GB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n-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n-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n-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n-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n-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n-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n-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n-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n-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n-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n-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n-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n-GB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n-GB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n-G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n-GB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n-G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n-GB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n-GB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n-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