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524"/>
      </w:tblGrid>
      <w:tr>
        <w:tc>
          <w:tcPr>
            <w:tcW w:type="dxa" w:w="9746"/>
            <w:shd w:fill="2B1A14"/>
            <w:tcBorders>
              <w:left w:val="nil"/>
              <w:top w:val="nil"/>
              <w:right w:val="nil"/>
              <w:bottom w:val="nil"/>
            </w:tcBorders>
          </w:tcPr>
          <w:p>
            <w:pPr>
              <w:jc w:val="left"/>
            </w:pPr>
            <w:r>
              <w:rPr>
                <w:rFonts w:ascii="Aptos" w:hAnsi="Aptos"/>
                <w:b/>
                <w:color w:val="D8CABC"/>
                <w:sz w:val="20"/>
              </w:rPr>
              <w:t>RANKINE KNOWLEDGE HUB</w:t>
            </w:r>
          </w:p>
          <w:p>
            <w:pPr>
              <w:jc w:val="left"/>
            </w:pPr>
            <w:r>
              <w:rPr>
                <w:rFonts w:ascii="Aptos" w:hAnsi="Aptos"/>
                <w:b/>
                <w:color w:val="F6F1EA"/>
                <w:sz w:val="40"/>
              </w:rPr>
              <w:t>RAG for STEM Decision Support: A Practical Primer</w:t>
            </w:r>
          </w:p>
          <w:p>
            <w:pPr>
              <w:jc w:val="left"/>
            </w:pPr>
            <w:r>
              <w:rPr>
                <w:rFonts w:ascii="Aptos" w:hAnsi="Aptos"/>
                <w:i/>
                <w:color w:val="D8CABC"/>
                <w:sz w:val="21"/>
              </w:rPr>
              <w:t>A long-form explainer on retrieval-augmented generation, grounded deployment, and where it fits in high-stakes technical work.</w:t>
            </w:r>
          </w:p>
        </w:tc>
      </w:tr>
    </w:tbl>
    <w:p/>
    <w:tbl>
      <w:tblPr>
        <w:tblW w:type="auto" w:w="0"/>
        <w:jc w:val="center"/>
        <w:tblLook w:firstColumn="1" w:firstRow="1" w:lastColumn="0" w:lastRow="0" w:noHBand="0" w:noVBand="1" w:val="04A0"/>
      </w:tblPr>
      <w:tblGrid>
        <w:gridCol w:w="3175"/>
        <w:gridCol w:w="3175"/>
        <w:gridCol w:w="3175"/>
      </w:tblGrid>
      <w:tr>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Domain</w:t>
              <w:br/>
            </w:r>
            <w:r>
              <w:rPr>
                <w:color w:val="2B1A14"/>
                <w:sz w:val="19"/>
              </w:rPr>
              <w:t>AI for STEM Innovation</w:t>
            </w:r>
          </w:p>
        </w:tc>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Format</w:t>
              <w:br/>
            </w:r>
            <w:r>
              <w:rPr>
                <w:color w:val="2B1A14"/>
                <w:sz w:val="19"/>
              </w:rPr>
              <w:t>Explainer</w:t>
            </w:r>
          </w:p>
        </w:tc>
        <w:tc>
          <w:tcPr>
            <w:tcW w:type="dxa" w:w="3249"/>
            <w:vAlign w:val="center"/>
            <w:shd w:fill="F7F3EE"/>
            <w:tcBorders>
              <w:left w:val="single" w:sz="6" w:space="0" w:color="D8CABC"/>
              <w:top w:val="single" w:sz="6" w:space="0" w:color="D8CABC"/>
              <w:right w:val="single" w:sz="6" w:space="0" w:color="D8CABC"/>
              <w:bottom w:val="single" w:sz="6" w:space="0" w:color="D8CABC"/>
            </w:tcBorders>
          </w:tcPr>
          <w:p>
            <w:pPr>
              <w:jc w:val="left"/>
            </w:pPr>
            <w:r>
              <w:rPr>
                <w:b/>
                <w:color w:val="785230"/>
                <w:sz w:val="18"/>
              </w:rPr>
              <w:t>Suggested slug</w:t>
              <w:br/>
            </w:r>
            <w:r>
              <w:rPr>
                <w:color w:val="2B1A14"/>
                <w:sz w:val="19"/>
              </w:rPr>
              <w:t>/knowledge-hub/explainers/rag-for-stem-decision-support/</w:t>
            </w:r>
          </w:p>
        </w:tc>
      </w:tr>
      <w:tr>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Meta description</w:t>
              <w:br/>
            </w:r>
            <w:r>
              <w:rPr>
                <w:color w:val="2B1A14"/>
                <w:sz w:val="19"/>
              </w:rPr>
              <w:t>Understand retrieval-augmented generation (RAG), when it works, and how to evaluate it for technical decision workflows.</w:t>
            </w:r>
          </w:p>
        </w:tc>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Reading length</w:t>
              <w:br/>
            </w:r>
            <w:r>
              <w:rPr>
                <w:color w:val="2B1A14"/>
                <w:sz w:val="19"/>
              </w:rPr>
              <w:t>Website long-form resource</w:t>
            </w:r>
          </w:p>
        </w:tc>
        <w:tc>
          <w:tcPr>
            <w:tcW w:type="dxa" w:w="3249"/>
            <w:vAlign w:val="center"/>
            <w:shd w:fill="FBF9F6"/>
            <w:tcBorders>
              <w:left w:val="single" w:sz="6" w:space="0" w:color="D8CABC"/>
              <w:top w:val="single" w:sz="6" w:space="0" w:color="D8CABC"/>
              <w:right w:val="single" w:sz="6" w:space="0" w:color="D8CABC"/>
              <w:bottom w:val="single" w:sz="6" w:space="0" w:color="D8CABC"/>
            </w:tcBorders>
          </w:tcPr>
          <w:p>
            <w:pPr>
              <w:jc w:val="left"/>
            </w:pPr>
            <w:r>
              <w:rPr>
                <w:b/>
                <w:color w:val="785230"/>
                <w:sz w:val="18"/>
              </w:rPr>
              <w:t>Status</w:t>
              <w:br/>
            </w:r>
            <w:r>
              <w:rPr>
                <w:color w:val="2B1A14"/>
                <w:sz w:val="19"/>
              </w:rPr>
              <w:t>Expanded draft</w:t>
            </w:r>
          </w:p>
        </w:tc>
      </w:tr>
    </w:tbl>
    <w:p/>
    <w:tbl>
      <w:tblPr>
        <w:tblW w:type="auto" w:w="0"/>
        <w:jc w:val="center"/>
        <w:tblLook w:firstColumn="1" w:firstRow="1" w:lastColumn="0" w:lastRow="0" w:noHBand="0" w:noVBand="1" w:val="04A0"/>
      </w:tblPr>
      <w:tblGrid>
        <w:gridCol w:w="9524"/>
      </w:tblGrid>
      <w:tr>
        <w:tc>
          <w:tcPr>
            <w:tcW w:type="dxa" w:w="9746"/>
            <w:shd w:fill="F7F3EE"/>
            <w:tcBorders>
              <w:left w:val="single" w:sz="10" w:space="0" w:color="C89A5A"/>
              <w:top w:val="single" w:sz="10" w:space="0" w:color="C89A5A"/>
              <w:right w:val="single" w:sz="10" w:space="0" w:color="C89A5A"/>
              <w:bottom w:val="single" w:sz="10" w:space="0" w:color="C89A5A"/>
            </w:tcBorders>
          </w:tcPr>
          <w:p>
            <w:pPr>
              <w:jc w:val="left"/>
            </w:pPr>
            <w:r>
              <w:rPr>
                <w:b/>
                <w:color w:val="785230"/>
                <w:sz w:val="20"/>
              </w:rPr>
              <w:t>Document intent</w:t>
              <w:br/>
            </w:r>
            <w:r>
              <w:rPr>
                <w:color w:val="2B1A14"/>
                <w:sz w:val="20"/>
              </w:rPr>
              <w:t>This piece translates the deep-dive brief into a website-ready explainer. It clarifies what RAG is, why it matters in technical environments, how it should be evaluated, and where the risks sit before deployment.</w:t>
            </w:r>
          </w:p>
        </w:tc>
      </w:tr>
    </w:tbl>
    <w:p/>
    <w:p>
      <w:pPr>
        <w:pStyle w:val="Heading1"/>
      </w:pPr>
      <w:r>
        <w:t>What problem this solves</w:t>
      </w:r>
    </w:p>
    <w:p>
      <w:pPr>
        <w:spacing w:after="140"/>
      </w:pPr>
      <w:r>
        <w:t>Large language models are persuasive pattern generators, but they are poor substitutes for current, authoritative, domain-specific knowledge. In technical environments, that gap creates three problems at once: hallucinated facts, weak traceability, and stale responses. The deep-dive positions retrieval-augmented generation, or RAG, as the practical pattern that helps institutions address those weaknesses when they need an assistant that works over contracts, standard operating procedures, laboratory notes, policy documents, or knowledge libraries rather than over generic public text.</w:t>
      </w:r>
    </w:p>
    <w:p>
      <w:pPr>
        <w:pStyle w:val="Heading1"/>
      </w:pPr>
      <w:r>
        <w:t>What RAG actually is</w:t>
      </w:r>
    </w:p>
    <w:p>
      <w:pPr>
        <w:spacing w:after="140"/>
      </w:pPr>
      <w:r>
        <w:t>RAG combines two different knowledge sources in one workflow. The first is parametric knowledge, which lives inside the model weights and gives the system general language ability. The second is retrieved knowledge, which is pulled at response time from a defined corpus of documents. In practice, a user asks a question, the system retrieves relevant passages from indexed material, and the model generates an answer using those retrieved passages as grounding. That distinction matters because it shifts the model away from pure improvisation and toward evidence-linked response generation.</w:t>
      </w:r>
    </w:p>
    <w:p>
      <w:pPr>
        <w:pStyle w:val="Heading1"/>
      </w:pPr>
      <w:r>
        <w:t>Why it matters for STEM decision support</w:t>
      </w:r>
    </w:p>
    <w:p>
      <w:pPr>
        <w:spacing w:after="140"/>
      </w:pPr>
      <w:r>
        <w:t>The document you uploaded makes the case for RAG not as a novelty, but as a serious institutional pattern. It ties the idea both to the original RAG formulation and to founder-linked applied evidence where a RAG-style contract-document workflow improved a baseline GPT-4 setup on quality, relevance, and reproducibility metrics. In the context of Rankine, that matters because your audiences work with structured knowledge, technical constraints, and implementation risk. They are less interested in chatbot fluency than in getting useful, reviewable responses that point back to source material.</w:t>
      </w:r>
    </w:p>
    <w:p>
      <w:pPr>
        <w:pStyle w:val="Heading1"/>
      </w:pPr>
      <w:r>
        <w:t>Core workflow</w:t>
      </w:r>
    </w:p>
    <w:p>
      <w:pPr>
        <w:spacing w:after="140"/>
      </w:pPr>
      <w:r>
        <w:t>A practical RAG workflow has five blocks. First, define the document boundary. That means deciding exactly which materials the assistant is allowed to use. Second, prepare and index the corpus so the system can search the material efficiently. Third, retrieve the most relevant passages for each query. Fourth, generate a response that cites or paraphrases the retrieved evidence. Fifth, review the output against quality, scope, and safety expectations. If any one of those stages is weak, the whole system becomes less trustworthy.</w:t>
      </w:r>
    </w:p>
    <w:p>
      <w:pPr>
        <w:pStyle w:val="Heading1"/>
      </w:pPr>
      <w:r>
        <w:t>Where RAG works well</w:t>
      </w:r>
    </w:p>
    <w:p>
      <w:pPr>
        <w:spacing w:after="140"/>
      </w:pPr>
      <w:r>
        <w:t>RAG is strongest when the task depends on a finite, curated corpus that matters more than open-ended world knowledge. Internal SOP guidance, policy interpretation, standards explanation, laboratory method support, document comparison, and institutional briefing support are good fits. It is also helpful where users need the answer to point back to an evidence trail. That makes it a strong fit for technical helpdesks, quality teams, standards-heavy operations, and capability-building environments where the answer must be traceable to documents, not just plausible in tone.</w:t>
      </w:r>
    </w:p>
    <w:p>
      <w:pPr>
        <w:pStyle w:val="Heading1"/>
      </w:pPr>
      <w:r>
        <w:t>Where RAG still fails</w:t>
      </w:r>
    </w:p>
    <w:p>
      <w:pPr>
        <w:spacing w:after="140"/>
      </w:pPr>
      <w:r>
        <w:t>RAG reduces some failure modes, but it does not remove them. Bad retrieval can still send the model to the wrong passages. Poor chunking can break the meaning of the underlying text. Confidential data can leak if permissions are not handled properly. Prompt injection and malicious instructions inside source documents can distort output. A confident answer can still overstate what the underlying material actually says. For that reason, the deep-dive is right to position evaluation and governance as part of the design, not as afterthoughts.</w:t>
      </w:r>
    </w:p>
    <w:p>
      <w:pPr>
        <w:pStyle w:val="Heading1"/>
      </w:pPr>
      <w:r>
        <w:t>How to evaluate it</w:t>
      </w:r>
    </w:p>
    <w:p>
      <w:pPr>
        <w:spacing w:after="140"/>
      </w:pPr>
      <w:r>
        <w:t>For Rankine-style deployment, evaluation should begin with task realism rather than benchmark theatre. Start by defining the actual decisions or support scenarios the tool is supposed to help with. Then test whether the retrieval step is surfacing the right evidence, whether the answer remains faithful to that evidence, whether the system stays inside its permitted scope, and whether the output is reproducible enough for institutional use. Accuracy, relevance, citation quality, refusal behaviour, and update discipline matter more here than impressive demo fluency.</w:t>
      </w:r>
    </w:p>
    <w:p>
      <w:pPr>
        <w:pStyle w:val="Heading1"/>
      </w:pPr>
      <w:r>
        <w:t>Security, compliance, and governance</w:t>
      </w:r>
    </w:p>
    <w:p>
      <w:pPr>
        <w:spacing w:after="140"/>
      </w:pPr>
      <w:r>
        <w:t>A high-quality RAG assistant is as much an information-governance project as it is a model project. Teams need access control, document hygiene, version control, logging, and explicit non-answer policies for situations where the system should defer to a human or refuse unsupported claims. This is especially important when the underlying material includes contracts, regulated procedures, confidential data, or evolving operational guidance. In practice, a weak governance layer can undo the value of a strong retrieval layer.</w:t>
      </w:r>
    </w:p>
    <w:p>
      <w:pPr>
        <w:pStyle w:val="Heading1"/>
      </w:pPr>
      <w:r>
        <w:t>When not to use RAG</w:t>
      </w:r>
    </w:p>
    <w:p>
      <w:pPr>
        <w:spacing w:after="140"/>
      </w:pPr>
      <w:r>
        <w:t>RAG is not the right answer when the underlying knowledge base is too poor, too outdated, or too fragmented to support reliable retrieval. It is also the wrong choice when the task needs calculation, formal reasoning, or expert judgment that cannot be reduced to document retrieval. In those cases, retrieval can support the workflow, but it should not be mistaken for a complete decision engine. The simplest rule is this: if the question demands accountable professional judgment, the system can support the user, but it should not replace them.</w:t>
      </w:r>
    </w:p>
    <w:p>
      <w:pPr>
        <w:pStyle w:val="Heading1"/>
      </w:pPr>
      <w:r>
        <w:t>Practical checklist</w:t>
      </w:r>
    </w:p>
    <w:p>
      <w:pPr>
        <w:spacing w:after="140"/>
      </w:pPr>
      <w:r>
        <w:t>Before deployment, a team should be able to answer six questions clearly. What is the corpus? Who can access it? What questions is the assistant designed to answer? How will retrieval quality be tested? What is the review protocol for unsafe or weak answers? How will the corpus be updated and versioned over time? If those answers are vague, the system is not ready for serious use.</w:t>
      </w:r>
    </w:p>
    <w:tbl>
      <w:tblPr>
        <w:tblW w:type="auto" w:w="0"/>
        <w:jc w:val="center"/>
        <w:tblLook w:firstColumn="1" w:firstRow="1" w:lastColumn="0" w:lastRow="0" w:noHBand="0" w:noVBand="1" w:val="04A0"/>
      </w:tblPr>
      <w:tblGrid>
        <w:gridCol w:w="9524"/>
      </w:tblGrid>
      <w:tr>
        <w:tc>
          <w:tcPr>
            <w:tcW w:type="dxa" w:w="9746"/>
            <w:shd w:fill="FBF9F6"/>
            <w:tcBorders>
              <w:left w:val="single" w:sz="10" w:space="0" w:color="D8CABC"/>
              <w:top w:val="single" w:sz="10" w:space="0" w:color="D8CABC"/>
              <w:right w:val="single" w:sz="10" w:space="0" w:color="D8CABC"/>
              <w:bottom w:val="single" w:sz="10" w:space="0" w:color="D8CABC"/>
            </w:tcBorders>
          </w:tcPr>
          <w:p>
            <w:pPr>
              <w:jc w:val="left"/>
            </w:pPr>
            <w:r>
              <w:rPr>
                <w:b/>
                <w:color w:val="785230"/>
                <w:sz w:val="20"/>
              </w:rPr>
              <w:t>Visual and downloadable brief</w:t>
              <w:br/>
            </w:r>
            <w:r>
              <w:rPr>
                <w:color w:val="2B1A14"/>
                <w:sz w:val="20"/>
              </w:rPr>
              <w:t>Primary visual: a simple architecture diagram showing corpus preparation, indexing, retrieval, generation, and human review. Downloadable support: one-page RAG readiness checklist and a short glossary covering corpus, chunking, retriever, grounding, refusal, and prompt injection.</w:t>
            </w:r>
          </w:p>
        </w:tc>
      </w:tr>
    </w:tbl>
    <w:p/>
    <w:tbl>
      <w:tblPr>
        <w:tblW w:type="auto" w:w="0"/>
        <w:jc w:val="center"/>
        <w:tblLook w:firstColumn="1" w:firstRow="1" w:lastColumn="0" w:lastRow="0" w:noHBand="0" w:noVBand="1" w:val="04A0"/>
      </w:tblPr>
      <w:tblGrid>
        <w:gridCol w:w="9524"/>
      </w:tblGrid>
      <w:tr>
        <w:tc>
          <w:tcPr>
            <w:tcW w:type="dxa" w:w="9746"/>
            <w:shd w:fill="FBF9F6"/>
            <w:tcBorders>
              <w:left w:val="single" w:sz="10" w:space="0" w:color="D8CABC"/>
              <w:top w:val="single" w:sz="10" w:space="0" w:color="D8CABC"/>
              <w:right w:val="single" w:sz="10" w:space="0" w:color="D8CABC"/>
              <w:bottom w:val="single" w:sz="10" w:space="0" w:color="D8CABC"/>
            </w:tcBorders>
          </w:tcPr>
          <w:p>
            <w:pPr>
              <w:jc w:val="left"/>
            </w:pPr>
            <w:r>
              <w:rPr>
                <w:b/>
                <w:color w:val="785230"/>
                <w:sz w:val="20"/>
              </w:rPr>
              <w:t>Suggested internal link path</w:t>
              <w:br/>
            </w:r>
            <w:r>
              <w:rPr>
                <w:color w:val="2B1A14"/>
                <w:sz w:val="20"/>
              </w:rPr>
              <w:t>Suggested internal links: Programmes; Research &amp; Project; AI Assurance for STEM Teams; Build a RAG Assistant for Technical Documents.</w:t>
            </w:r>
          </w:p>
        </w:tc>
      </w:tr>
    </w:tbl>
    <w:p/>
    <w:p>
      <w:pPr>
        <w:pStyle w:val="Heading1"/>
      </w:pPr>
      <w:r>
        <w:t>References and source base</w:t>
      </w:r>
    </w:p>
    <w:p>
      <w:pPr>
        <w:ind w:left="283" w:hanging="283"/>
      </w:pPr>
      <w:r>
        <w:rPr>
          <w:color w:val="785230"/>
        </w:rPr>
        <w:t xml:space="preserve">• </w:t>
      </w:r>
      <w:r>
        <w:t>Knowledge Hub Content Deep-Dive for Rankine Innovation Lab: Explainer A brief, outline, SEO package, and production notes.</w:t>
      </w:r>
    </w:p>
    <w:p>
      <w:pPr>
        <w:ind w:left="283" w:hanging="283"/>
      </w:pPr>
      <w:r>
        <w:rPr>
          <w:color w:val="785230"/>
        </w:rPr>
        <w:t xml:space="preserve">• </w:t>
      </w:r>
      <w:r>
        <w:t>Founder-anchored evidence base cited in the deep-dive: Generative artificial intelligence in construction: A Delphi approach, framework, and case study; Generative AI in the Construction Industry: A State-of-the-art Analysis.</w:t>
      </w:r>
    </w:p>
    <w:p>
      <w:pPr>
        <w:ind w:left="283" w:hanging="283"/>
      </w:pPr>
      <w:r>
        <w:rPr>
          <w:color w:val="785230"/>
        </w:rPr>
        <w:t xml:space="preserve">• </w:t>
      </w:r>
      <w:r>
        <w:t>Primary reference spine cited in the deep-dive: Retrieval-Augmented Generation for Knowledge-Intensive NLP Tasks.</w:t>
      </w:r>
    </w:p>
    <w:p>
      <w:pPr>
        <w:ind w:left="283" w:hanging="283"/>
      </w:pPr>
      <w:r>
        <w:rPr>
          <w:color w:val="785230"/>
        </w:rPr>
        <w:t xml:space="preserve">• </w:t>
      </w:r>
      <w:r>
        <w:t>Quality and governance framing cited in the deep-dive: NIST AI Risk Management Framework concepts for governance, mapping, measurement, and management.</w:t>
      </w:r>
    </w:p>
    <w:sectPr w:rsidR="00FC693F" w:rsidRPr="0006063C" w:rsidSect="00034616">
      <w:headerReference w:type="default" r:id="rId9"/>
      <w:footerReference w:type="default" r:id="rId10"/>
      <w:pgSz w:w="12240" w:h="15840"/>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6803"/>
      <w:gridCol w:w="2268"/>
    </w:tblGrid>
    <w:tr>
      <w:tc>
        <w:tcPr>
          <w:tcW w:type="dxa" w:w="4873"/>
          <w:vAlign w:val="center"/>
          <w:tcBorders>
            <w:top w:val="single" w:sz="6" w:space="0" w:color="D8CABC"/>
          </w:tcBorders>
        </w:tcPr>
        <w:p>
          <w:pPr>
            <w:jc w:val="left"/>
          </w:pPr>
          <w:r>
            <w:rPr>
              <w:color w:val="785230"/>
              <w:sz w:val="16"/>
            </w:rPr>
            <w:t>Draft content document for website implementation</w:t>
          </w:r>
        </w:p>
      </w:tc>
      <w:tc>
        <w:tcPr>
          <w:tcW w:type="dxa" w:w="4873"/>
          <w:vAlign w:val="center"/>
          <w:tcBorders>
            <w:top w:val="single" w:sz="6" w:space="0" w:color="D8CABC"/>
          </w:tcBorders>
        </w:tcPr>
        <w:p>
          <w:pPr>
            <w:jc w:val="right"/>
          </w:pPr>
          <w:r>
            <w:rPr>
              <w:color w:val="785230"/>
              <w:sz w:val="16"/>
            </w:rPr>
            <w:t xml:space="preserve">Page </w:t>
          </w:r>
          <w:fldSimple w:instr="PAGE">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5230"/>
        <w:sz w:val="17"/>
      </w:rPr>
      <w:t>Rankine Knowledge Hub | RAG for 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D20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2B1A1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78523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B1A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w:hAnsi="Aptos"/>
      <w:b/>
      <w:color w:val="2B1A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