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24"/>
      </w:tblGrid>
      <w:tr>
        <w:tc>
          <w:tcPr>
            <w:tcW w:type="dxa" w:w="9746"/>
            <w:shd w:fill="2B1A14"/>
            <w:tcBorders>
              <w:left w:val="nil"/>
              <w:top w:val="nil"/>
              <w:right w:val="nil"/>
              <w:bottom w:val="nil"/>
            </w:tcBorders>
          </w:tcPr>
          <w:p>
            <w:pPr>
              <w:jc w:val="left"/>
            </w:pPr>
            <w:r>
              <w:rPr>
                <w:rFonts w:ascii="Aptos" w:hAnsi="Aptos"/>
                <w:b/>
                <w:color w:val="D8CABC"/>
                <w:sz w:val="20"/>
              </w:rPr>
              <w:t>RANKINE KNOWLEDGE HUB</w:t>
            </w:r>
          </w:p>
          <w:p>
            <w:pPr>
              <w:jc w:val="left"/>
            </w:pPr>
            <w:r>
              <w:rPr>
                <w:rFonts w:ascii="Aptos" w:hAnsi="Aptos"/>
                <w:b/>
                <w:color w:val="F6F1EA"/>
                <w:sz w:val="40"/>
              </w:rPr>
              <w:t>Circular Economy for Construction: From Concept to Decisions</w:t>
            </w:r>
          </w:p>
          <w:p>
            <w:pPr>
              <w:jc w:val="left"/>
            </w:pPr>
            <w:r>
              <w:rPr>
                <w:rFonts w:ascii="Aptos" w:hAnsi="Aptos"/>
                <w:i/>
                <w:color w:val="D8CABC"/>
                <w:sz w:val="21"/>
              </w:rPr>
              <w:t>A practical explainer on circularity in the built environment, with emphasis on real adoption barriers, drivers, and decision quality.</w:t>
            </w:r>
          </w:p>
        </w:tc>
      </w:tr>
    </w:tbl>
    <w:p/>
    <w:tbl>
      <w:tblPr>
        <w:tblW w:type="auto" w:w="0"/>
        <w:jc w:val="center"/>
        <w:tblLook w:firstColumn="1" w:firstRow="1" w:lastColumn="0" w:lastRow="0" w:noHBand="0" w:noVBand="1" w:val="04A0"/>
      </w:tblPr>
      <w:tblGrid>
        <w:gridCol w:w="3175"/>
        <w:gridCol w:w="3175"/>
        <w:gridCol w:w="3175"/>
      </w:tblGrid>
      <w:tr>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Domain</w:t>
              <w:br/>
            </w:r>
            <w:r>
              <w:rPr>
                <w:color w:val="2B1A14"/>
                <w:sz w:val="19"/>
              </w:rPr>
              <w:t>Sustainability &amp; Circularity</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Format</w:t>
              <w:br/>
            </w:r>
            <w:r>
              <w:rPr>
                <w:color w:val="2B1A14"/>
                <w:sz w:val="19"/>
              </w:rPr>
              <w:t>Explainer</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Suggested slug</w:t>
              <w:br/>
            </w:r>
            <w:r>
              <w:rPr>
                <w:color w:val="2B1A14"/>
                <w:sz w:val="19"/>
              </w:rPr>
              <w:t>/knowledge-hub/explainers/circular-economy-construction-decisions/</w:t>
            </w:r>
          </w:p>
        </w:tc>
      </w:tr>
      <w:tr>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Meta description</w:t>
              <w:br/>
            </w:r>
            <w:r>
              <w:rPr>
                <w:color w:val="2B1A14"/>
                <w:sz w:val="19"/>
              </w:rPr>
              <w:t>A clear guide to circular economy principles in construction, plus barriers and drivers that shape real adoption.</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Reading length</w:t>
              <w:br/>
            </w:r>
            <w:r>
              <w:rPr>
                <w:color w:val="2B1A14"/>
                <w:sz w:val="19"/>
              </w:rPr>
              <w:t>Website long-form resource</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Status</w:t>
              <w:br/>
            </w:r>
            <w:r>
              <w:rPr>
                <w:color w:val="2B1A14"/>
                <w:sz w:val="19"/>
              </w:rPr>
              <w:t>Expanded draft</w:t>
            </w:r>
          </w:p>
        </w:tc>
      </w:tr>
    </w:tbl>
    <w:p/>
    <w:tbl>
      <w:tblPr>
        <w:tblW w:type="auto" w:w="0"/>
        <w:jc w:val="center"/>
        <w:tblLook w:firstColumn="1" w:firstRow="1" w:lastColumn="0" w:lastRow="0" w:noHBand="0" w:noVBand="1" w:val="04A0"/>
      </w:tblPr>
      <w:tblGrid>
        <w:gridCol w:w="9524"/>
      </w:tblGrid>
      <w:tr>
        <w:tc>
          <w:tcPr>
            <w:tcW w:type="dxa" w:w="9746"/>
            <w:shd w:fill="F7F3EE"/>
            <w:tcBorders>
              <w:left w:val="single" w:sz="10" w:space="0" w:color="C89A5A"/>
              <w:top w:val="single" w:sz="10" w:space="0" w:color="C89A5A"/>
              <w:right w:val="single" w:sz="10" w:space="0" w:color="C89A5A"/>
              <w:bottom w:val="single" w:sz="10" w:space="0" w:color="C89A5A"/>
            </w:tcBorders>
          </w:tcPr>
          <w:p>
            <w:pPr>
              <w:jc w:val="left"/>
            </w:pPr>
            <w:r>
              <w:rPr>
                <w:b/>
                <w:color w:val="785230"/>
                <w:sz w:val="20"/>
              </w:rPr>
              <w:t>Document intent</w:t>
              <w:br/>
            </w:r>
            <w:r>
              <w:rPr>
                <w:color w:val="2B1A14"/>
                <w:sz w:val="20"/>
              </w:rPr>
              <w:t>This draft turns the deep-dive brief into a long-form explainer for the Knowledge Hub. It keeps the focus on practical circularity in construction rather than generic sustainability language or recycling-only framing.</w:t>
            </w:r>
          </w:p>
        </w:tc>
      </w:tr>
    </w:tbl>
    <w:p/>
    <w:p>
      <w:pPr>
        <w:pStyle w:val="Heading1"/>
      </w:pPr>
      <w:r>
        <w:t>What problem this solves</w:t>
      </w:r>
    </w:p>
    <w:p>
      <w:pPr>
        <w:spacing w:after="140"/>
      </w:pPr>
      <w:r>
        <w:t>Circular economy is one of the most overused phrases in sustainability conversations. In construction and infrastructure discussions, it is often reduced to better recycling, recycled content, or waste reduction targets. The deep-dive correctly pushes against that simplification. It frames circularity as a system in which materials do not simply become waste and value is retained through repair, reuse, remanufacture, refurbishment, and recycling. That broader framing is essential if Rankine wants the Knowledge Hub to offer more than slogans.</w:t>
      </w:r>
    </w:p>
    <w:p>
      <w:pPr>
        <w:pStyle w:val="Heading1"/>
      </w:pPr>
      <w:r>
        <w:t>What circularity actually means</w:t>
      </w:r>
    </w:p>
    <w:p>
      <w:pPr>
        <w:spacing w:after="140"/>
      </w:pPr>
      <w:r>
        <w:t>In the built environment, circularity is about designing and operating material flows so that value is maintained for as long as possible. That includes design choices, procurement choices, maintenance culture, deconstruction planning, policy incentives, and business models. It is not only about what happens at end of life. It begins much earlier, with whether materials can be separated, repaired, reused, or reprocessed in a credible way. For construction, that means circularity has to be treated as a system-design question, not just a waste-management question.</w:t>
      </w:r>
    </w:p>
    <w:p>
      <w:pPr>
        <w:pStyle w:val="Heading1"/>
      </w:pPr>
      <w:r>
        <w:t>Circularity is not the same as recycling</w:t>
      </w:r>
    </w:p>
    <w:p>
      <w:pPr>
        <w:spacing w:after="140"/>
      </w:pPr>
      <w:r>
        <w:t>Recycling matters, but it is only one part of the loop. A building component that can be maintained for longer, repurposed in place, or disassembled for reuse may preserve more value than one that is simply crushed and processed as secondary material. The deep-dive points to this directly by recommending a lifecycle loop visual and by tying the explainer to barrier-driver research rather than to slogans alone. A useful reader takeaway is that circularity sits on a hierarchy of value retention, and recycling is often the lower-value option compared with maintenance, repair, reuse, and refurbishment.</w:t>
      </w:r>
    </w:p>
    <w:p>
      <w:pPr>
        <w:pStyle w:val="Heading1"/>
      </w:pPr>
      <w:r>
        <w:t>Why construction makes circularity difficult</w:t>
      </w:r>
    </w:p>
    <w:p>
      <w:pPr>
        <w:spacing w:after="140"/>
      </w:pPr>
      <w:r>
        <w:t>The construction sector is structurally hard to change. Project timelines are tight, procurement is fragmented, design decisions are path-dependent, and supply chains are often optimized for speed and cost rather than reuse or reversibility. Materials are mixed, embedded, and difficult to recover cleanly. Standards, codes, warranties, and client expectations can also discourage experimentation. These are not excuses; they are the operating conditions that any serious circularity strategy must confront.</w:t>
      </w:r>
    </w:p>
    <w:p>
      <w:pPr>
        <w:pStyle w:val="Heading1"/>
      </w:pPr>
      <w:r>
        <w:t>What the evidence says about barriers and drivers</w:t>
      </w:r>
    </w:p>
    <w:p>
      <w:pPr>
        <w:spacing w:after="140"/>
      </w:pPr>
      <w:r>
        <w:t>The deep-dive highlights founder-connected work modelling the relationship between circular economy barriers and drivers for the sustainable construction industry. That matters because it moves the discussion away from aspiration and toward implementation conditions. A useful reading of that research is that circularity does not stall only because people do not care. It also stalls because enabling conditions are weak. Skills, policy signals, financing, procurement incentives, supply-chain readiness, and confidence in material performance all influence what becomes possible in practice.</w:t>
      </w:r>
    </w:p>
    <w:p>
      <w:pPr>
        <w:pStyle w:val="Heading1"/>
      </w:pPr>
      <w:r>
        <w:t>What good circularity decisions look like</w:t>
      </w:r>
    </w:p>
    <w:p>
      <w:pPr>
        <w:spacing w:after="140"/>
      </w:pPr>
      <w:r>
        <w:t>A good circularity decision is one that balances environmental intent with technical credibility, context fit, and operational realism. That means asking practical questions. Can this component be maintained or disassembled? Does the procurement model reward reuse? Are there standards or testing pathways for secondary materials? Does the local supply chain actually support recovery? What happens to cost, performance, and liability when circular options are pursued? Circularity becomes real when decisions are made in full view of those constraints rather than in abstraction from them.</w:t>
      </w:r>
    </w:p>
    <w:p>
      <w:pPr>
        <w:pStyle w:val="Heading1"/>
      </w:pPr>
      <w:r>
        <w:t>How SMEs can act without waiting for perfect conditions</w:t>
      </w:r>
    </w:p>
    <w:p>
      <w:pPr>
        <w:spacing w:after="140"/>
      </w:pPr>
      <w:r>
        <w:t>One of the strengths of the deep-dive is that it explicitly points toward SMEs and decision-ready interventions. Smaller firms do not need to solve the entire circular-economy transition to begin making better moves. They can start by mapping the most wasteful material loops they control, identifying a short list of design or procurement points where value is currently destroyed, and selecting one or two measurable changes. That might be reversible detailing, material passports, modular replacement logic, supplier take-back agreements, or a reuse-first procurement review. The point is not symbolic participation. It is targeted operational improvement.</w:t>
      </w:r>
    </w:p>
    <w:p>
      <w:pPr>
        <w:pStyle w:val="Heading1"/>
      </w:pPr>
      <w:r>
        <w:t>How to judge whether a circularity claim is credible</w:t>
      </w:r>
    </w:p>
    <w:p>
      <w:pPr>
        <w:spacing w:after="140"/>
      </w:pPr>
      <w:r>
        <w:t>Three tests help quickly. First, does the claim talk about the whole lifecycle or only the end-of-life stage? Second, does it describe a real mechanism for retaining value, or only an aspiration? Third, does it identify the conditions required for the claim to hold in practice? Weak circularity language often fails one or more of those tests. Strong circularity language is specific about material flows, system boundaries, and implementation conditions.</w:t>
      </w:r>
    </w:p>
    <w:p>
      <w:pPr>
        <w:pStyle w:val="Heading1"/>
      </w:pPr>
      <w:r>
        <w:t>What Rankine can contribute</w:t>
      </w:r>
    </w:p>
    <w:p>
      <w:pPr>
        <w:spacing w:after="140"/>
      </w:pPr>
      <w:r>
        <w:t>Rankine’s value here is not to repeat mainstream sustainability language. It is to help people move from concept to decision. That means explaining circularity clearly, but also translating barrier-driver evidence into readiness tools, intervention maps, and decision frameworks. In that sense, this explainer should act as a bridge piece. It gives readers the conceptual grounding they need before they move into more structured resources such as the Circularity Readiness Matrix or future pieces on sustainable materials and lifecycle evaluation.</w:t>
      </w:r>
    </w:p>
    <w:p>
      <w:pPr>
        <w:pStyle w:val="Heading1"/>
      </w:pPr>
      <w:r>
        <w:t>Practical checklist</w:t>
      </w:r>
    </w:p>
    <w:p>
      <w:pPr>
        <w:spacing w:after="140"/>
      </w:pPr>
      <w:r>
        <w:t>Before describing a project or organisation as circular, ask: what value are we retaining, at which stage, through what mechanism, under what constraints, and how will we know it worked? If those questions cannot be answered, the circularity claim is probably still too loose.</w:t>
      </w:r>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Visual and downloadable brief</w:t>
              <w:br/>
            </w:r>
            <w:r>
              <w:rPr>
                <w:color w:val="2B1A14"/>
                <w:sz w:val="20"/>
              </w:rPr>
              <w:t>Primary visual: lifecycle loop diagram showing maintain, reuse, refurbish, remanufacture, recycle. Support visual: a compact table mapping common barrier clusters to likely intervention levers.</w:t>
            </w:r>
          </w:p>
        </w:tc>
      </w:tr>
    </w:tbl>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Suggested internal link path</w:t>
              <w:br/>
            </w:r>
            <w:r>
              <w:rPr>
                <w:color w:val="2B1A14"/>
                <w:sz w:val="20"/>
              </w:rPr>
              <w:t>Suggested internal links: Sustainability domain page; Circularity Readiness Matrix; future Polymer-Enhanced Concrete explainer; Programmes page.</w:t>
            </w:r>
          </w:p>
        </w:tc>
      </w:tr>
    </w:tbl>
    <w:p/>
    <w:p>
      <w:pPr>
        <w:pStyle w:val="Heading1"/>
      </w:pPr>
      <w:r>
        <w:t>References and source base</w:t>
      </w:r>
    </w:p>
    <w:p>
      <w:pPr>
        <w:ind w:left="283" w:hanging="283"/>
      </w:pPr>
      <w:r>
        <w:rPr>
          <w:color w:val="785230"/>
        </w:rPr>
        <w:t xml:space="preserve">• </w:t>
      </w:r>
      <w:r>
        <w:t>Knowledge Hub Content Deep-Dive for Rankine Innovation Lab: Explainer B brief, outline, and SEO notes.</w:t>
      </w:r>
    </w:p>
    <w:p>
      <w:pPr>
        <w:ind w:left="283" w:hanging="283"/>
      </w:pPr>
      <w:r>
        <w:rPr>
          <w:color w:val="785230"/>
        </w:rPr>
        <w:t xml:space="preserve">• </w:t>
      </w:r>
      <w:r>
        <w:t>Founder-connected evidence cited in the deep-dive: Modelling the relationship between circular economy barriers and drivers for sustainable construction industry.</w:t>
      </w:r>
    </w:p>
    <w:p>
      <w:pPr>
        <w:ind w:left="283" w:hanging="283"/>
      </w:pPr>
      <w:r>
        <w:rPr>
          <w:color w:val="785230"/>
        </w:rPr>
        <w:t xml:space="preserve">• </w:t>
      </w:r>
      <w:r>
        <w:t>Reference spine cited in the deep-dive: Ellen MacArthur Foundation circular economy overview; European Commission Circular Economy Action Plan framing.</w:t>
      </w:r>
    </w:p>
    <w:p>
      <w:pPr>
        <w:ind w:left="283" w:hanging="283"/>
      </w:pPr>
      <w:r>
        <w:rPr>
          <w:color w:val="785230"/>
        </w:rPr>
        <w:t xml:space="preserve">• </w:t>
      </w:r>
      <w:r>
        <w:t>Related future resource in the deep-dive: Circularity Readiness Matrix for SMEs.</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803"/>
      <w:gridCol w:w="2268"/>
    </w:tblGrid>
    <w:tr>
      <w:tc>
        <w:tcPr>
          <w:tcW w:type="dxa" w:w="4873"/>
          <w:vAlign w:val="center"/>
          <w:tcBorders>
            <w:top w:val="single" w:sz="6" w:space="0" w:color="D8CABC"/>
          </w:tcBorders>
        </w:tcPr>
        <w:p>
          <w:pPr>
            <w:jc w:val="left"/>
          </w:pPr>
          <w:r>
            <w:rPr>
              <w:color w:val="785230"/>
              <w:sz w:val="16"/>
            </w:rPr>
            <w:t>Draft content document for website implementation</w:t>
          </w:r>
        </w:p>
      </w:tc>
      <w:tc>
        <w:tcPr>
          <w:tcW w:type="dxa" w:w="4873"/>
          <w:vAlign w:val="center"/>
          <w:tcBorders>
            <w:top w:val="single" w:sz="6" w:space="0" w:color="D8CABC"/>
          </w:tcBorders>
        </w:tcPr>
        <w:p>
          <w:pPr>
            <w:jc w:val="right"/>
          </w:pPr>
          <w:r>
            <w:rPr>
              <w:color w:val="785230"/>
              <w:sz w:val="16"/>
            </w:rPr>
            <w:t xml:space="preserve">Page </w:t>
          </w:r>
          <w:fldSimple w:instr="PAGE">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5230"/>
        <w:sz w:val="17"/>
      </w:rPr>
      <w:t>Rankine Knowledge Hub | Circular Economy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D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B1A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78523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2B1A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