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524"/>
      </w:tblGrid>
      <w:tr>
        <w:tc>
          <w:tcPr>
            <w:tcW w:type="dxa" w:w="9746"/>
            <w:shd w:fill="2B1A14"/>
            <w:tcBorders>
              <w:left w:val="nil"/>
              <w:top w:val="nil"/>
              <w:right w:val="nil"/>
              <w:bottom w:val="nil"/>
            </w:tcBorders>
          </w:tcPr>
          <w:p>
            <w:pPr>
              <w:jc w:val="left"/>
            </w:pPr>
            <w:r>
              <w:rPr>
                <w:rFonts w:ascii="Aptos" w:hAnsi="Aptos"/>
                <w:b/>
                <w:color w:val="D8CABC"/>
                <w:sz w:val="20"/>
              </w:rPr>
              <w:t>RANKINE KNOWLEDGE HUB</w:t>
            </w:r>
          </w:p>
          <w:p>
            <w:pPr>
              <w:jc w:val="left"/>
            </w:pPr>
            <w:r>
              <w:rPr>
                <w:rFonts w:ascii="Aptos" w:hAnsi="Aptos"/>
                <w:b/>
                <w:color w:val="F6F1EA"/>
                <w:sz w:val="40"/>
              </w:rPr>
              <w:t>Climate-Smart Agriculture: The Three Pillars and How to Measure Them</w:t>
            </w:r>
          </w:p>
          <w:p>
            <w:pPr>
              <w:jc w:val="left"/>
            </w:pPr>
            <w:r>
              <w:rPr>
                <w:rFonts w:ascii="Aptos" w:hAnsi="Aptos"/>
                <w:i/>
                <w:color w:val="D8CABC"/>
                <w:sz w:val="21"/>
              </w:rPr>
              <w:t>A practical primer on climate-smart agriculture, with a focus on pillar trade-offs, measurable indicators, and implementation realism.</w:t>
            </w:r>
          </w:p>
        </w:tc>
      </w:tr>
    </w:tbl>
    <w:p/>
    <w:tbl>
      <w:tblPr>
        <w:tblW w:type="auto" w:w="0"/>
        <w:jc w:val="center"/>
        <w:tblLook w:firstColumn="1" w:firstRow="1" w:lastColumn="0" w:lastRow="0" w:noHBand="0" w:noVBand="1" w:val="04A0"/>
      </w:tblPr>
      <w:tblGrid>
        <w:gridCol w:w="3175"/>
        <w:gridCol w:w="3175"/>
        <w:gridCol w:w="3175"/>
      </w:tblGrid>
      <w:tr>
        <w:tc>
          <w:tcPr>
            <w:tcW w:type="dxa" w:w="3249"/>
            <w:vAlign w:val="center"/>
            <w:shd w:fill="F7F3EE"/>
            <w:tcBorders>
              <w:left w:val="single" w:sz="6" w:space="0" w:color="D8CABC"/>
              <w:top w:val="single" w:sz="6" w:space="0" w:color="D8CABC"/>
              <w:right w:val="single" w:sz="6" w:space="0" w:color="D8CABC"/>
              <w:bottom w:val="single" w:sz="6" w:space="0" w:color="D8CABC"/>
            </w:tcBorders>
          </w:tcPr>
          <w:p>
            <w:pPr>
              <w:jc w:val="left"/>
            </w:pPr>
            <w:r>
              <w:rPr>
                <w:b/>
                <w:color w:val="785230"/>
                <w:sz w:val="18"/>
              </w:rPr>
              <w:t>Domain</w:t>
              <w:br/>
            </w:r>
            <w:r>
              <w:rPr>
                <w:color w:val="2B1A14"/>
                <w:sz w:val="19"/>
              </w:rPr>
              <w:t>Smart Agriculture &amp; Food Security</w:t>
            </w:r>
          </w:p>
        </w:tc>
        <w:tc>
          <w:tcPr>
            <w:tcW w:type="dxa" w:w="3249"/>
            <w:vAlign w:val="center"/>
            <w:shd w:fill="F7F3EE"/>
            <w:tcBorders>
              <w:left w:val="single" w:sz="6" w:space="0" w:color="D8CABC"/>
              <w:top w:val="single" w:sz="6" w:space="0" w:color="D8CABC"/>
              <w:right w:val="single" w:sz="6" w:space="0" w:color="D8CABC"/>
              <w:bottom w:val="single" w:sz="6" w:space="0" w:color="D8CABC"/>
            </w:tcBorders>
          </w:tcPr>
          <w:p>
            <w:pPr>
              <w:jc w:val="left"/>
            </w:pPr>
            <w:r>
              <w:rPr>
                <w:b/>
                <w:color w:val="785230"/>
                <w:sz w:val="18"/>
              </w:rPr>
              <w:t>Format</w:t>
              <w:br/>
            </w:r>
            <w:r>
              <w:rPr>
                <w:color w:val="2B1A14"/>
                <w:sz w:val="19"/>
              </w:rPr>
              <w:t>Explainer</w:t>
            </w:r>
          </w:p>
        </w:tc>
        <w:tc>
          <w:tcPr>
            <w:tcW w:type="dxa" w:w="3249"/>
            <w:vAlign w:val="center"/>
            <w:shd w:fill="F7F3EE"/>
            <w:tcBorders>
              <w:left w:val="single" w:sz="6" w:space="0" w:color="D8CABC"/>
              <w:top w:val="single" w:sz="6" w:space="0" w:color="D8CABC"/>
              <w:right w:val="single" w:sz="6" w:space="0" w:color="D8CABC"/>
              <w:bottom w:val="single" w:sz="6" w:space="0" w:color="D8CABC"/>
            </w:tcBorders>
          </w:tcPr>
          <w:p>
            <w:pPr>
              <w:jc w:val="left"/>
            </w:pPr>
            <w:r>
              <w:rPr>
                <w:b/>
                <w:color w:val="785230"/>
                <w:sz w:val="18"/>
              </w:rPr>
              <w:t>Suggested slug</w:t>
              <w:br/>
            </w:r>
            <w:r>
              <w:rPr>
                <w:color w:val="2B1A14"/>
                <w:sz w:val="19"/>
              </w:rPr>
              <w:t>/knowledge-hub/explainers/climate-smart-agriculture-pillars/</w:t>
            </w:r>
          </w:p>
        </w:tc>
      </w:tr>
      <w:tr>
        <w:tc>
          <w:tcPr>
            <w:tcW w:type="dxa" w:w="3249"/>
            <w:vAlign w:val="center"/>
            <w:shd w:fill="FBF9F6"/>
            <w:tcBorders>
              <w:left w:val="single" w:sz="6" w:space="0" w:color="D8CABC"/>
              <w:top w:val="single" w:sz="6" w:space="0" w:color="D8CABC"/>
              <w:right w:val="single" w:sz="6" w:space="0" w:color="D8CABC"/>
              <w:bottom w:val="single" w:sz="6" w:space="0" w:color="D8CABC"/>
            </w:tcBorders>
          </w:tcPr>
          <w:p>
            <w:pPr>
              <w:jc w:val="left"/>
            </w:pPr>
            <w:r>
              <w:rPr>
                <w:b/>
                <w:color w:val="785230"/>
                <w:sz w:val="18"/>
              </w:rPr>
              <w:t>Meta description</w:t>
              <w:br/>
            </w:r>
            <w:r>
              <w:rPr>
                <w:color w:val="2B1A14"/>
                <w:sz w:val="19"/>
              </w:rPr>
              <w:t>A practical guide to CSA pillars, indicators, and how to plan for trade-offs in real agricultural systems.</w:t>
            </w:r>
          </w:p>
        </w:tc>
        <w:tc>
          <w:tcPr>
            <w:tcW w:type="dxa" w:w="3249"/>
            <w:vAlign w:val="center"/>
            <w:shd w:fill="FBF9F6"/>
            <w:tcBorders>
              <w:left w:val="single" w:sz="6" w:space="0" w:color="D8CABC"/>
              <w:top w:val="single" w:sz="6" w:space="0" w:color="D8CABC"/>
              <w:right w:val="single" w:sz="6" w:space="0" w:color="D8CABC"/>
              <w:bottom w:val="single" w:sz="6" w:space="0" w:color="D8CABC"/>
            </w:tcBorders>
          </w:tcPr>
          <w:p>
            <w:pPr>
              <w:jc w:val="left"/>
            </w:pPr>
            <w:r>
              <w:rPr>
                <w:b/>
                <w:color w:val="785230"/>
                <w:sz w:val="18"/>
              </w:rPr>
              <w:t>Reading length</w:t>
              <w:br/>
            </w:r>
            <w:r>
              <w:rPr>
                <w:color w:val="2B1A14"/>
                <w:sz w:val="19"/>
              </w:rPr>
              <w:t>Website long-form resource</w:t>
            </w:r>
          </w:p>
        </w:tc>
        <w:tc>
          <w:tcPr>
            <w:tcW w:type="dxa" w:w="3249"/>
            <w:vAlign w:val="center"/>
            <w:shd w:fill="FBF9F6"/>
            <w:tcBorders>
              <w:left w:val="single" w:sz="6" w:space="0" w:color="D8CABC"/>
              <w:top w:val="single" w:sz="6" w:space="0" w:color="D8CABC"/>
              <w:right w:val="single" w:sz="6" w:space="0" w:color="D8CABC"/>
              <w:bottom w:val="single" w:sz="6" w:space="0" w:color="D8CABC"/>
            </w:tcBorders>
          </w:tcPr>
          <w:p>
            <w:pPr>
              <w:jc w:val="left"/>
            </w:pPr>
            <w:r>
              <w:rPr>
                <w:b/>
                <w:color w:val="785230"/>
                <w:sz w:val="18"/>
              </w:rPr>
              <w:t>Status</w:t>
              <w:br/>
            </w:r>
            <w:r>
              <w:rPr>
                <w:color w:val="2B1A14"/>
                <w:sz w:val="19"/>
              </w:rPr>
              <w:t>Expanded draft</w:t>
            </w:r>
          </w:p>
        </w:tc>
      </w:tr>
    </w:tbl>
    <w:p/>
    <w:tbl>
      <w:tblPr>
        <w:tblW w:type="auto" w:w="0"/>
        <w:jc w:val="center"/>
        <w:tblLook w:firstColumn="1" w:firstRow="1" w:lastColumn="0" w:lastRow="0" w:noHBand="0" w:noVBand="1" w:val="04A0"/>
      </w:tblPr>
      <w:tblGrid>
        <w:gridCol w:w="9524"/>
      </w:tblGrid>
      <w:tr>
        <w:tc>
          <w:tcPr>
            <w:tcW w:type="dxa" w:w="9746"/>
            <w:shd w:fill="F7F3EE"/>
            <w:tcBorders>
              <w:left w:val="single" w:sz="10" w:space="0" w:color="C89A5A"/>
              <w:top w:val="single" w:sz="10" w:space="0" w:color="C89A5A"/>
              <w:right w:val="single" w:sz="10" w:space="0" w:color="C89A5A"/>
              <w:bottom w:val="single" w:sz="10" w:space="0" w:color="C89A5A"/>
            </w:tcBorders>
          </w:tcPr>
          <w:p>
            <w:pPr>
              <w:jc w:val="left"/>
            </w:pPr>
            <w:r>
              <w:rPr>
                <w:b/>
                <w:color w:val="785230"/>
                <w:sz w:val="20"/>
              </w:rPr>
              <w:t>Document intent</w:t>
              <w:br/>
            </w:r>
            <w:r>
              <w:rPr>
                <w:color w:val="2B1A14"/>
                <w:sz w:val="20"/>
              </w:rPr>
              <w:t>This draft expands the deep-dive brief for the Knowledge Hub and turns FAO-linked framing into a structured, measurable, implementation-oriented explainer.</w:t>
            </w:r>
          </w:p>
        </w:tc>
      </w:tr>
    </w:tbl>
    <w:p/>
    <w:p>
      <w:pPr>
        <w:pStyle w:val="Heading1"/>
      </w:pPr>
      <w:r>
        <w:t>What problem this solves</w:t>
      </w:r>
    </w:p>
    <w:p>
      <w:pPr>
        <w:spacing w:after="140"/>
      </w:pPr>
      <w:r>
        <w:t>Climate-smart agriculture, or CSA, is widely referenced in agriculture and sustainability conversations, but it is often used without operational clarity. The deep-dive identifies this clearly and recommends that Rankine translate the familiar three-pillar framing into measurable indicators and real-world trade-offs. That is the right move. Without a measurement mindset, CSA can become a label rather than a planning tool.</w:t>
      </w:r>
    </w:p>
    <w:p>
      <w:pPr>
        <w:pStyle w:val="Heading1"/>
      </w:pPr>
      <w:r>
        <w:t>The three pillars</w:t>
      </w:r>
    </w:p>
    <w:p>
      <w:pPr>
        <w:spacing w:after="140"/>
      </w:pPr>
      <w:r>
        <w:t>The deep-dive relies on the widely used three-pillar framing: productivity and income, adaptation and resilience, and mitigation where possible. Those pillars are useful because they keep agricultural planning from becoming one-dimensional. A programme that increases yield but worsens climate vulnerability is incomplete. A programme that reduces emissions but undermines farmer viability is also incomplete. CSA asks decision-makers to hold those pillars together rather than treating them as separate agendas.</w:t>
      </w:r>
    </w:p>
    <w:p>
      <w:pPr>
        <w:pStyle w:val="Heading1"/>
      </w:pPr>
      <w:r>
        <w:t>Pillar one: productivity and income</w:t>
      </w:r>
    </w:p>
    <w:p>
      <w:pPr>
        <w:spacing w:after="140"/>
      </w:pPr>
      <w:r>
        <w:t>The first pillar is about sustaining or improving production and livelihoods. In practice, this includes yield stability, crop health, input efficiency, labour productivity, and income resilience. It does not mean maximizing output at any cost. It means strengthening the economic base of farming systems in ways that remain viable under climate pressure. For Rankine audiences, this pillar is where many early monitoring conversations begin because productivity metrics are often the easiest to understand and communicate.</w:t>
      </w:r>
    </w:p>
    <w:p>
      <w:pPr>
        <w:pStyle w:val="Heading1"/>
      </w:pPr>
      <w:r>
        <w:t>Pillar two: adaptation and resilience</w:t>
      </w:r>
    </w:p>
    <w:p>
      <w:pPr>
        <w:spacing w:after="140"/>
      </w:pPr>
      <w:r>
        <w:t>Adaptation and resilience matter because agriculture now operates under recurring climatic stress: heat, irregular rainfall, flooding, pest shifts, soil degradation, and changing water availability. This pillar focuses on whether a system can absorb shocks, adapt to variability, and recover. That may involve soil-moisture management, crop diversification, water intelligence, agroecological practices, weather-informed planning, or infrastructure that reduces exposure to climate risk. A useful implementation question is not only whether an intervention performs under normal conditions, but whether it improves performance under stress.</w:t>
      </w:r>
    </w:p>
    <w:p>
      <w:pPr>
        <w:pStyle w:val="Heading1"/>
      </w:pPr>
      <w:r>
        <w:t>Pillar three: mitigation</w:t>
      </w:r>
    </w:p>
    <w:p>
      <w:pPr>
        <w:spacing w:after="140"/>
      </w:pPr>
      <w:r>
        <w:t>Mitigation in CSA concerns reducing emissions where feasible and improving carbon-related performance across the system. This can include soil carbon practices, input efficiency, reduced waste, better water-energy management, and smarter land-use decisions. Importantly, mitigation should not be isolated from productivity and resilience. A measure that looks attractive on a carbon metric but weakens viability or resilience may not be a strong CSA decision in context.</w:t>
      </w:r>
    </w:p>
    <w:p>
      <w:pPr>
        <w:pStyle w:val="Heading1"/>
      </w:pPr>
      <w:r>
        <w:t>Why trade-offs matter</w:t>
      </w:r>
    </w:p>
    <w:p>
      <w:pPr>
        <w:spacing w:after="140"/>
      </w:pPr>
      <w:r>
        <w:t>The deep-dive is right to insist on trade-offs. Not every intervention advances all three pillars equally. A water-saving technology may improve resilience but increase cost. A productivity-enhancing input may raise yields while worsening emissions or ecological pressure. A mitigation-focused practice may take time before farmers see income benefits. That is why CSA should be monitored as a decision space, not a slogan. It is also why the explainer should connect directly to a future dashboard playbook, so readers see that measurement is part of the concept, not an optional extra.</w:t>
      </w:r>
    </w:p>
    <w:p>
      <w:pPr>
        <w:pStyle w:val="Heading1"/>
      </w:pPr>
      <w:r>
        <w:t>How to measure CSA in practice</w:t>
      </w:r>
    </w:p>
    <w:p>
      <w:pPr>
        <w:spacing w:after="140"/>
      </w:pPr>
      <w:r>
        <w:t>A good CSA measurement approach begins by choosing a context and scale. Farm-level, community-level, programme-level, and regional-level indicators should not be treated as interchangeable. Once the scale is clear, each pillar needs a small set of indicators that are specific enough to guide action but realistic enough to collect. Productivity indicators might include yield consistency, input-use efficiency, or net income. Resilience indicators might include drought recovery time, crop survival under stress, soil moisture stability, or irrigation reliability. Mitigation indicators might include energy intensity, fertilizer efficiency, or waste reduction proxies. The best early dashboard is usually small and disciplined rather than comprehensive.</w:t>
      </w:r>
    </w:p>
    <w:p>
      <w:pPr>
        <w:pStyle w:val="Heading1"/>
      </w:pPr>
      <w:r>
        <w:t>Data sources and governance</w:t>
      </w:r>
    </w:p>
    <w:p>
      <w:pPr>
        <w:spacing w:after="140"/>
      </w:pPr>
      <w:r>
        <w:t>The deep-dive recommends a starter dashboard concept and an indicator worksheet, which is exactly the right direction. But indicator selection is only half the job. Teams also need to decide where the data will come from and who is responsible for it. Some indicators may come from field measurements, some from farmer records, some from extension services, and some from remote or environmental data. Governance matters because weak data stewardship can undermine trust, comparability, and long-term use.</w:t>
      </w:r>
    </w:p>
    <w:p>
      <w:pPr>
        <w:pStyle w:val="Heading1"/>
      </w:pPr>
      <w:r>
        <w:t>Equity and ethics</w:t>
      </w:r>
    </w:p>
    <w:p>
      <w:pPr>
        <w:spacing w:after="140"/>
      </w:pPr>
      <w:r>
        <w:t>The brief also wisely flags equity and data ownership. Climate-smart agriculture should not be framed as a purely technical optimization exercise. Data collection, intervention design, and outcome measurement all have power implications. Who benefits first? Who bears reporting burdens? Who controls data? Whose resilience is being strengthened, and whose is being overlooked? A good CSA implementation approach should surface those questions early rather than treating them as afterthoughts.</w:t>
      </w:r>
    </w:p>
    <w:p>
      <w:pPr>
        <w:pStyle w:val="Heading1"/>
      </w:pPr>
      <w:r>
        <w:t>What Rankine can contribute</w:t>
      </w:r>
    </w:p>
    <w:p>
      <w:pPr>
        <w:spacing w:after="140"/>
      </w:pPr>
      <w:r>
        <w:t>Rankine can make this topic distinctive by connecting agricultural intelligence to systems thinking rather than treating CSA as a generic development term. The Knowledge Hub can do that by linking this explainer to dashboard design, data governance, water intelligence, and cross-disciplinary decision tools. That would allow the Hub to move from concept explanation into practical capability-building for institutions, programmes, and field pilots.</w:t>
      </w:r>
    </w:p>
    <w:p>
      <w:pPr>
        <w:pStyle w:val="Heading1"/>
      </w:pPr>
      <w:r>
        <w:t>Practical checklist</w:t>
      </w:r>
    </w:p>
    <w:p>
      <w:pPr>
        <w:spacing w:after="140"/>
      </w:pPr>
      <w:r>
        <w:t>If a team says it is pursuing climate-smart agriculture, it should be able to answer five questions clearly. Which pillar matters most in this context right now? Which trade-offs are expected? What indicators will show progress? What data sources will support those indicators? Who owns and reviews the data over time? If those answers are missing, the CSA plan is not yet operational.</w:t>
      </w:r>
    </w:p>
    <w:tbl>
      <w:tblPr>
        <w:tblW w:type="auto" w:w="0"/>
        <w:jc w:val="center"/>
        <w:tblLook w:firstColumn="1" w:firstRow="1" w:lastColumn="0" w:lastRow="0" w:noHBand="0" w:noVBand="1" w:val="04A0"/>
      </w:tblPr>
      <w:tblGrid>
        <w:gridCol w:w="9524"/>
      </w:tblGrid>
      <w:tr>
        <w:tc>
          <w:tcPr>
            <w:tcW w:type="dxa" w:w="9746"/>
            <w:shd w:fill="FBF9F6"/>
            <w:tcBorders>
              <w:left w:val="single" w:sz="10" w:space="0" w:color="D8CABC"/>
              <w:top w:val="single" w:sz="10" w:space="0" w:color="D8CABC"/>
              <w:right w:val="single" w:sz="10" w:space="0" w:color="D8CABC"/>
              <w:bottom w:val="single" w:sz="10" w:space="0" w:color="D8CABC"/>
            </w:tcBorders>
          </w:tcPr>
          <w:p>
            <w:pPr>
              <w:jc w:val="left"/>
            </w:pPr>
            <w:r>
              <w:rPr>
                <w:b/>
                <w:color w:val="785230"/>
                <w:sz w:val="20"/>
              </w:rPr>
              <w:t>Visual and downloadable brief</w:t>
              <w:br/>
            </w:r>
            <w:r>
              <w:rPr>
                <w:color w:val="2B1A14"/>
                <w:sz w:val="20"/>
              </w:rPr>
              <w:t>Primary visual: the CSA three-pillar triangle with side panels listing representative indicators. Downloadable support: indicator worksheet or CSV-ready template for a starter dashboard.</w:t>
            </w:r>
          </w:p>
        </w:tc>
      </w:tr>
    </w:tbl>
    <w:p/>
    <w:tbl>
      <w:tblPr>
        <w:tblW w:type="auto" w:w="0"/>
        <w:jc w:val="center"/>
        <w:tblLook w:firstColumn="1" w:firstRow="1" w:lastColumn="0" w:lastRow="0" w:noHBand="0" w:noVBand="1" w:val="04A0"/>
      </w:tblPr>
      <w:tblGrid>
        <w:gridCol w:w="9524"/>
      </w:tblGrid>
      <w:tr>
        <w:tc>
          <w:tcPr>
            <w:tcW w:type="dxa" w:w="9746"/>
            <w:shd w:fill="FBF9F6"/>
            <w:tcBorders>
              <w:left w:val="single" w:sz="10" w:space="0" w:color="D8CABC"/>
              <w:top w:val="single" w:sz="10" w:space="0" w:color="D8CABC"/>
              <w:right w:val="single" w:sz="10" w:space="0" w:color="D8CABC"/>
              <w:bottom w:val="single" w:sz="10" w:space="0" w:color="D8CABC"/>
            </w:tcBorders>
          </w:tcPr>
          <w:p>
            <w:pPr>
              <w:jc w:val="left"/>
            </w:pPr>
            <w:r>
              <w:rPr>
                <w:b/>
                <w:color w:val="785230"/>
                <w:sz w:val="20"/>
              </w:rPr>
              <w:t>Suggested internal link path</w:t>
              <w:br/>
            </w:r>
            <w:r>
              <w:rPr>
                <w:color w:val="2B1A14"/>
                <w:sz w:val="20"/>
              </w:rPr>
              <w:t>Suggested internal links: Smart Agriculture domain page; Climate-Smart Agriculture Monitoring Dashboard playbook; Water Intelligence Maturity Model; Programmes page.</w:t>
            </w:r>
          </w:p>
        </w:tc>
      </w:tr>
    </w:tbl>
    <w:p/>
    <w:p>
      <w:pPr>
        <w:pStyle w:val="Heading1"/>
      </w:pPr>
      <w:r>
        <w:t>References and source base</w:t>
      </w:r>
    </w:p>
    <w:p>
      <w:pPr>
        <w:ind w:left="283" w:hanging="283"/>
      </w:pPr>
      <w:r>
        <w:rPr>
          <w:color w:val="785230"/>
        </w:rPr>
        <w:t xml:space="preserve">• </w:t>
      </w:r>
      <w:r>
        <w:t>Knowledge Hub Content Deep-Dive for Rankine Innovation Lab: Explainer C brief, outline, and infographic brief.</w:t>
      </w:r>
    </w:p>
    <w:p>
      <w:pPr>
        <w:ind w:left="283" w:hanging="283"/>
      </w:pPr>
      <w:r>
        <w:rPr>
          <w:color w:val="785230"/>
        </w:rPr>
        <w:t xml:space="preserve">• </w:t>
      </w:r>
      <w:r>
        <w:t>Primary reference spine cited in the deep-dive: FAO climate-smart agriculture concept framing and three pillars.</w:t>
      </w:r>
    </w:p>
    <w:p>
      <w:pPr>
        <w:ind w:left="283" w:hanging="283"/>
      </w:pPr>
      <w:r>
        <w:rPr>
          <w:color w:val="785230"/>
        </w:rPr>
        <w:t xml:space="preserve">• </w:t>
      </w:r>
      <w:r>
        <w:t>Related future resource cited in the deep-dive: Playbook for a Climate-Smart Agriculture Monitoring Dashboard.</w:t>
      </w:r>
    </w:p>
    <w:p>
      <w:pPr>
        <w:ind w:left="283" w:hanging="283"/>
      </w:pPr>
      <w:r>
        <w:rPr>
          <w:color w:val="785230"/>
        </w:rPr>
        <w:t xml:space="preserve">• </w:t>
      </w:r>
      <w:r>
        <w:t>Cross-link opportunity identified in the deep-dive: food systems mapping and indicator/governance resources.</w:t>
      </w:r>
    </w:p>
    <w:sectPr w:rsidR="00FC693F" w:rsidRPr="0006063C" w:rsidSect="00034616">
      <w:headerReference w:type="default" r:id="rId9"/>
      <w:footerReference w:type="default" r:id="rId10"/>
      <w:pgSz w:w="12240" w:h="15840"/>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6803"/>
      <w:gridCol w:w="2268"/>
    </w:tblGrid>
    <w:tr>
      <w:tc>
        <w:tcPr>
          <w:tcW w:type="dxa" w:w="4873"/>
          <w:vAlign w:val="center"/>
          <w:tcBorders>
            <w:top w:val="single" w:sz="6" w:space="0" w:color="D8CABC"/>
          </w:tcBorders>
        </w:tcPr>
        <w:p>
          <w:pPr>
            <w:jc w:val="left"/>
          </w:pPr>
          <w:r>
            <w:rPr>
              <w:color w:val="785230"/>
              <w:sz w:val="16"/>
            </w:rPr>
            <w:t>Draft content document for website implementation</w:t>
          </w:r>
        </w:p>
      </w:tc>
      <w:tc>
        <w:tcPr>
          <w:tcW w:type="dxa" w:w="4873"/>
          <w:vAlign w:val="center"/>
          <w:tcBorders>
            <w:top w:val="single" w:sz="6" w:space="0" w:color="D8CABC"/>
          </w:tcBorders>
        </w:tcPr>
        <w:p>
          <w:pPr>
            <w:jc w:val="right"/>
          </w:pPr>
          <w:r>
            <w:rPr>
              <w:color w:val="785230"/>
              <w:sz w:val="16"/>
            </w:rPr>
            <w:t xml:space="preserve">Page </w:t>
          </w:r>
          <w:fldSimple w:instr="PAGE">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5230"/>
        <w:sz w:val="17"/>
      </w:rPr>
      <w:t>Rankine Knowledge Hub | CSA Primer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2D20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2B1A1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78523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B1A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w:hAnsi="Aptos"/>
      <w:b/>
      <w:color w:val="2B1A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