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524"/>
      </w:tblGrid>
      <w:tr>
        <w:tc>
          <w:tcPr>
            <w:tcW w:type="dxa" w:w="9746"/>
            <w:shd w:fill="2B1A14"/>
            <w:tcBorders>
              <w:left w:val="nil"/>
              <w:top w:val="nil"/>
              <w:right w:val="nil"/>
              <w:bottom w:val="nil"/>
            </w:tcBorders>
          </w:tcPr>
          <w:p>
            <w:pPr>
              <w:jc w:val="left"/>
            </w:pPr>
            <w:r>
              <w:rPr>
                <w:rFonts w:ascii="Aptos" w:hAnsi="Aptos"/>
                <w:b/>
                <w:color w:val="D8CABC"/>
                <w:sz w:val="20"/>
              </w:rPr>
              <w:t>RANKINE KNOWLEDGE HUB</w:t>
            </w:r>
          </w:p>
          <w:p>
            <w:pPr>
              <w:jc w:val="left"/>
            </w:pPr>
            <w:r>
              <w:rPr>
                <w:rFonts w:ascii="Aptos" w:hAnsi="Aptos"/>
                <w:b/>
                <w:color w:val="F6F1EA"/>
                <w:sz w:val="40"/>
              </w:rPr>
              <w:t>Mycelium and Soil Resilience: What the Evidence Shows</w:t>
            </w:r>
          </w:p>
          <w:p>
            <w:pPr>
              <w:jc w:val="left"/>
            </w:pPr>
            <w:r>
              <w:rPr>
                <w:rFonts w:ascii="Aptos" w:hAnsi="Aptos"/>
                <w:i/>
                <w:color w:val="D8CABC"/>
                <w:sz w:val="21"/>
              </w:rPr>
              <w:t>A practical explainer on fungal mycelium, post-fire soils, experimental evidence, and the boundary between promising lab results and field deployment.</w:t>
            </w:r>
          </w:p>
        </w:tc>
      </w:tr>
    </w:tbl>
    <w:p/>
    <w:tbl>
      <w:tblPr>
        <w:tblW w:type="auto" w:w="0"/>
        <w:jc w:val="center"/>
        <w:tblLook w:firstColumn="1" w:firstRow="1" w:lastColumn="0" w:lastRow="0" w:noHBand="0" w:noVBand="1" w:val="04A0"/>
      </w:tblPr>
      <w:tblGrid>
        <w:gridCol w:w="3175"/>
        <w:gridCol w:w="3175"/>
        <w:gridCol w:w="3175"/>
      </w:tblGrid>
      <w:tr>
        <w:tc>
          <w:tcPr>
            <w:tcW w:type="dxa" w:w="3249"/>
            <w:vAlign w:val="center"/>
            <w:shd w:fill="F7F3EE"/>
            <w:tcBorders>
              <w:left w:val="single" w:sz="6" w:space="0" w:color="D8CABC"/>
              <w:top w:val="single" w:sz="6" w:space="0" w:color="D8CABC"/>
              <w:right w:val="single" w:sz="6" w:space="0" w:color="D8CABC"/>
              <w:bottom w:val="single" w:sz="6" w:space="0" w:color="D8CABC"/>
            </w:tcBorders>
          </w:tcPr>
          <w:p>
            <w:pPr>
              <w:jc w:val="left"/>
            </w:pPr>
            <w:r>
              <w:rPr>
                <w:b/>
                <w:color w:val="785230"/>
                <w:sz w:val="18"/>
              </w:rPr>
              <w:t>Domain</w:t>
              <w:br/>
            </w:r>
            <w:r>
              <w:rPr>
                <w:color w:val="2B1A14"/>
                <w:sz w:val="19"/>
              </w:rPr>
              <w:t>Sustainability &amp; Circularity</w:t>
            </w:r>
          </w:p>
        </w:tc>
        <w:tc>
          <w:tcPr>
            <w:tcW w:type="dxa" w:w="3249"/>
            <w:vAlign w:val="center"/>
            <w:shd w:fill="F7F3EE"/>
            <w:tcBorders>
              <w:left w:val="single" w:sz="6" w:space="0" w:color="D8CABC"/>
              <w:top w:val="single" w:sz="6" w:space="0" w:color="D8CABC"/>
              <w:right w:val="single" w:sz="6" w:space="0" w:color="D8CABC"/>
              <w:bottom w:val="single" w:sz="6" w:space="0" w:color="D8CABC"/>
            </w:tcBorders>
          </w:tcPr>
          <w:p>
            <w:pPr>
              <w:jc w:val="left"/>
            </w:pPr>
            <w:r>
              <w:rPr>
                <w:b/>
                <w:color w:val="785230"/>
                <w:sz w:val="18"/>
              </w:rPr>
              <w:t>Format</w:t>
              <w:br/>
            </w:r>
            <w:r>
              <w:rPr>
                <w:color w:val="2B1A14"/>
                <w:sz w:val="19"/>
              </w:rPr>
              <w:t>Explainer</w:t>
            </w:r>
          </w:p>
        </w:tc>
        <w:tc>
          <w:tcPr>
            <w:tcW w:type="dxa" w:w="3249"/>
            <w:vAlign w:val="center"/>
            <w:shd w:fill="F7F3EE"/>
            <w:tcBorders>
              <w:left w:val="single" w:sz="6" w:space="0" w:color="D8CABC"/>
              <w:top w:val="single" w:sz="6" w:space="0" w:color="D8CABC"/>
              <w:right w:val="single" w:sz="6" w:space="0" w:color="D8CABC"/>
              <w:bottom w:val="single" w:sz="6" w:space="0" w:color="D8CABC"/>
            </w:tcBorders>
          </w:tcPr>
          <w:p>
            <w:pPr>
              <w:jc w:val="left"/>
            </w:pPr>
            <w:r>
              <w:rPr>
                <w:b/>
                <w:color w:val="785230"/>
                <w:sz w:val="18"/>
              </w:rPr>
              <w:t>Suggested slug</w:t>
              <w:br/>
            </w:r>
            <w:r>
              <w:rPr>
                <w:color w:val="2B1A14"/>
                <w:sz w:val="19"/>
              </w:rPr>
              <w:t>/knowledge-hub/explainers/mycelium-soil-resilience-evidence/</w:t>
            </w:r>
          </w:p>
        </w:tc>
      </w:tr>
      <w:tr>
        <w:tc>
          <w:tcPr>
            <w:tcW w:type="dxa" w:w="3249"/>
            <w:vAlign w:val="center"/>
            <w:shd w:fill="FBF9F6"/>
            <w:tcBorders>
              <w:left w:val="single" w:sz="6" w:space="0" w:color="D8CABC"/>
              <w:top w:val="single" w:sz="6" w:space="0" w:color="D8CABC"/>
              <w:right w:val="single" w:sz="6" w:space="0" w:color="D8CABC"/>
              <w:bottom w:val="single" w:sz="6" w:space="0" w:color="D8CABC"/>
            </w:tcBorders>
          </w:tcPr>
          <w:p>
            <w:pPr>
              <w:jc w:val="left"/>
            </w:pPr>
            <w:r>
              <w:rPr>
                <w:b/>
                <w:color w:val="785230"/>
                <w:sz w:val="18"/>
              </w:rPr>
              <w:t>Meta description</w:t>
              <w:br/>
            </w:r>
            <w:r>
              <w:rPr>
                <w:color w:val="2B1A14"/>
                <w:sz w:val="19"/>
              </w:rPr>
              <w:t>A rigorous explainer on fungal mycelium for erosion control and soil stabilisation—benefits, limits, and real pilot pathways.</w:t>
            </w:r>
          </w:p>
        </w:tc>
        <w:tc>
          <w:tcPr>
            <w:tcW w:type="dxa" w:w="3249"/>
            <w:vAlign w:val="center"/>
            <w:shd w:fill="FBF9F6"/>
            <w:tcBorders>
              <w:left w:val="single" w:sz="6" w:space="0" w:color="D8CABC"/>
              <w:top w:val="single" w:sz="6" w:space="0" w:color="D8CABC"/>
              <w:right w:val="single" w:sz="6" w:space="0" w:color="D8CABC"/>
              <w:bottom w:val="single" w:sz="6" w:space="0" w:color="D8CABC"/>
            </w:tcBorders>
          </w:tcPr>
          <w:p>
            <w:pPr>
              <w:jc w:val="left"/>
            </w:pPr>
            <w:r>
              <w:rPr>
                <w:b/>
                <w:color w:val="785230"/>
                <w:sz w:val="18"/>
              </w:rPr>
              <w:t>Reading length</w:t>
              <w:br/>
            </w:r>
            <w:r>
              <w:rPr>
                <w:color w:val="2B1A14"/>
                <w:sz w:val="19"/>
              </w:rPr>
              <w:t>Website long-form resource</w:t>
            </w:r>
          </w:p>
        </w:tc>
        <w:tc>
          <w:tcPr>
            <w:tcW w:type="dxa" w:w="3249"/>
            <w:vAlign w:val="center"/>
            <w:shd w:fill="FBF9F6"/>
            <w:tcBorders>
              <w:left w:val="single" w:sz="6" w:space="0" w:color="D8CABC"/>
              <w:top w:val="single" w:sz="6" w:space="0" w:color="D8CABC"/>
              <w:right w:val="single" w:sz="6" w:space="0" w:color="D8CABC"/>
              <w:bottom w:val="single" w:sz="6" w:space="0" w:color="D8CABC"/>
            </w:tcBorders>
          </w:tcPr>
          <w:p>
            <w:pPr>
              <w:jc w:val="left"/>
            </w:pPr>
            <w:r>
              <w:rPr>
                <w:b/>
                <w:color w:val="785230"/>
                <w:sz w:val="18"/>
              </w:rPr>
              <w:t>Status</w:t>
              <w:br/>
            </w:r>
            <w:r>
              <w:rPr>
                <w:color w:val="2B1A14"/>
                <w:sz w:val="19"/>
              </w:rPr>
              <w:t>Expanded draft</w:t>
            </w:r>
          </w:p>
        </w:tc>
      </w:tr>
    </w:tbl>
    <w:p/>
    <w:tbl>
      <w:tblPr>
        <w:tblW w:type="auto" w:w="0"/>
        <w:jc w:val="center"/>
        <w:tblLook w:firstColumn="1" w:firstRow="1" w:lastColumn="0" w:lastRow="0" w:noHBand="0" w:noVBand="1" w:val="04A0"/>
      </w:tblPr>
      <w:tblGrid>
        <w:gridCol w:w="9524"/>
      </w:tblGrid>
      <w:tr>
        <w:tc>
          <w:tcPr>
            <w:tcW w:type="dxa" w:w="9746"/>
            <w:shd w:fill="F7F3EE"/>
            <w:tcBorders>
              <w:left w:val="single" w:sz="10" w:space="0" w:color="C89A5A"/>
              <w:top w:val="single" w:sz="10" w:space="0" w:color="C89A5A"/>
              <w:right w:val="single" w:sz="10" w:space="0" w:color="C89A5A"/>
              <w:bottom w:val="single" w:sz="10" w:space="0" w:color="C89A5A"/>
            </w:tcBorders>
          </w:tcPr>
          <w:p>
            <w:pPr>
              <w:jc w:val="left"/>
            </w:pPr>
            <w:r>
              <w:rPr>
                <w:b/>
                <w:color w:val="785230"/>
                <w:sz w:val="20"/>
              </w:rPr>
              <w:t>Document intent</w:t>
              <w:br/>
            </w:r>
            <w:r>
              <w:rPr>
                <w:color w:val="2B1A14"/>
                <w:sz w:val="20"/>
              </w:rPr>
              <w:t>This draft expands the deep-dive brief for the Knowledge Hub into a readable, evidence-aware explainer that introduces mycelium as a nature-based engineering option without overstating the current state of proof.</w:t>
            </w:r>
          </w:p>
        </w:tc>
      </w:tr>
    </w:tbl>
    <w:p/>
    <w:p>
      <w:pPr>
        <w:pStyle w:val="Heading1"/>
      </w:pPr>
      <w:r>
        <w:t>What problem this solves</w:t>
      </w:r>
    </w:p>
    <w:p>
      <w:pPr>
        <w:spacing w:after="140"/>
      </w:pPr>
      <w:r>
        <w:t>Nature-based solutions often attract strong interest but uneven understanding. Mycelium is a good example. It is sometimes discussed with excitement because it sits at the intersection of biology, materials, and sustainability, yet many audiences do not have a clear picture of where the evidence is strongest and where it remains provisional. The deep-dive handles this well: it anchors the explainer in a founder-connected fire-affected soils study and makes explicit that field validation remains an important boundary. That is the right editorial stance for Rankine.</w:t>
      </w:r>
    </w:p>
    <w:p>
      <w:pPr>
        <w:pStyle w:val="Heading1"/>
      </w:pPr>
      <w:r>
        <w:t>What mycelium is in this context</w:t>
      </w:r>
    </w:p>
    <w:p>
      <w:pPr>
        <w:spacing w:after="140"/>
      </w:pPr>
      <w:r>
        <w:t>Mycelium is the network of fungal filaments that can bind, interact with, and alter the physical behaviour of materials. In environmental and geotechnical contexts, the interest lies not in the organism as a curiosity, but in what its growth and structure can do to soils and surfaces. It can change how water infiltrates, how soil aggregates behave, how erosion progresses, and how treated materials respond under stress. That makes it relevant to soil resilience, post-disturbance recovery, and bio-mediated material innovation.</w:t>
      </w:r>
    </w:p>
    <w:p>
      <w:pPr>
        <w:pStyle w:val="Heading1"/>
      </w:pPr>
      <w:r>
        <w:t>Why post-fire soils matter</w:t>
      </w:r>
    </w:p>
    <w:p>
      <w:pPr>
        <w:spacing w:after="140"/>
      </w:pPr>
      <w:r>
        <w:t>Fire-affected soils can become unstable, erosion-prone, and hydrologically altered. In practice, that means land restoration and risk management teams need ways to reduce runoff, suppress erosion, and support recovery after disturbance. The deep-dive identifies the founder-connected study on engineered fungal mycelium growth in fire-affected soils as the anchor for this piece. That study is important because it does not treat mycelium as an abstract sustainability idea. It examines measurable effects on infiltration and erosion resistance, which are exactly the kinds of outcomes practitioners care about.</w:t>
      </w:r>
    </w:p>
    <w:p>
      <w:pPr>
        <w:pStyle w:val="Heading1"/>
      </w:pPr>
      <w:r>
        <w:t>What the reported evidence suggests</w:t>
      </w:r>
    </w:p>
    <w:p>
      <w:pPr>
        <w:spacing w:after="140"/>
      </w:pPr>
      <w:r>
        <w:t>According to the deep-dive, the fire-affected soils paper reports that engineered fungal mycelium growth materially altered infiltration and erosion behaviour, including infiltration suppression at later stages and improved erosion-resistance classification. The editorial lesson is not that mycelium has solved post-fire restoration. The lesson is that there is enough signal here to justify serious attention, especially for lab-to-pilot translation. The piece should therefore present the findings as promising, specific, and bounded rather than as universally established.</w:t>
      </w:r>
    </w:p>
    <w:p>
      <w:pPr>
        <w:pStyle w:val="Heading1"/>
      </w:pPr>
      <w:r>
        <w:t>Why this matters beyond one study</w:t>
      </w:r>
    </w:p>
    <w:p>
      <w:pPr>
        <w:spacing w:after="140"/>
      </w:pPr>
      <w:r>
        <w:t>The deep-dive also connects the explainer to the mycelium leather-like materials review trajectory and to broader bio-mediated geotechnics. That matters because it shows this is not an isolated curiosity. Mycelium is part of a wider shift toward material systems that are lower-carbon, biologically informed, and potentially more regenerative than conventional approaches in some contexts. For Rankine, that creates an opportunity to introduce readers to a frontier area without forcing the science into hype-heavy language.</w:t>
      </w:r>
    </w:p>
    <w:p>
      <w:pPr>
        <w:pStyle w:val="Heading1"/>
      </w:pPr>
      <w:r>
        <w:t>Where the evidence is strong</w:t>
      </w:r>
    </w:p>
    <w:p>
      <w:pPr>
        <w:spacing w:after="140"/>
      </w:pPr>
      <w:r>
        <w:t>At this stage, the strongest claims are those tied to defined experimental conditions and measured outcomes. It is reasonable to say that engineered fungal growth can influence infiltration and erosion-related behaviour in controlled settings. It is also reasonable to say that this positions mycelium as a serious candidate within nature-based stabilization research. What should be avoided is language that implies field-wide effectiveness across all conditions, soils, climates, or deployment scenarios.</w:t>
      </w:r>
    </w:p>
    <w:p>
      <w:pPr>
        <w:pStyle w:val="Heading1"/>
      </w:pPr>
      <w:r>
        <w:t>Where caution is required</w:t>
      </w:r>
    </w:p>
    <w:p>
      <w:pPr>
        <w:spacing w:after="140"/>
      </w:pPr>
      <w:r>
        <w:t>The most important caution is transferability. A promising laboratory result is not yet a field protocol. Real environments add variability in weather, soil heterogeneity, scaling, time, ecological interaction, and operational control. The deep-dive explicitly notes that field validation is still needed, and this should remain prominent throughout the explainer. Ecological monitoring, site compatibility, and deployment governance also matter. A nature-based solution is still an engineered intervention once it is introduced into a live environment.</w:t>
      </w:r>
    </w:p>
    <w:p>
      <w:pPr>
        <w:pStyle w:val="Heading1"/>
      </w:pPr>
      <w:r>
        <w:t>Practical pathways for restoration pilots</w:t>
      </w:r>
    </w:p>
    <w:p>
      <w:pPr>
        <w:spacing w:after="140"/>
      </w:pPr>
      <w:r>
        <w:t>The right next step is not to market mycelium as a finished answer. It is to design cautious, measurable pilot pathways. That includes defining the site type, treatment objectives, experimental controls, monitoring plan, and decision criteria for scaling or stopping. In the Knowledge Hub structure mapped in the deep-dive, this explainer naturally points to the companion playbook on designing a mycelium-based soil stabilisation pilot. That relationship is important because it helps the Hub move from evidence explanation to implementation discipline.</w:t>
      </w:r>
    </w:p>
    <w:p>
      <w:pPr>
        <w:pStyle w:val="Heading1"/>
      </w:pPr>
      <w:r>
        <w:t>Why Rankine should publish this piece</w:t>
      </w:r>
    </w:p>
    <w:p>
      <w:pPr>
        <w:spacing w:after="140"/>
      </w:pPr>
      <w:r>
        <w:t>This is one of the most distinctive early Knowledge Hub topics available to Rankine because it brings together sustainability, cross-disciplinary innovation, and a founder-connected frontier field. It also demonstrates the kind of translation work the site promises elsewhere: rigorous enough to be credible, accessible enough to be useful, and bounded enough to stay honest. That is exactly the tone this page should carry.</w:t>
      </w:r>
    </w:p>
    <w:p>
      <w:pPr>
        <w:pStyle w:val="Heading1"/>
      </w:pPr>
      <w:r>
        <w:t>Practical checklist</w:t>
      </w:r>
    </w:p>
    <w:p>
      <w:pPr>
        <w:spacing w:after="140"/>
      </w:pPr>
      <w:r>
        <w:t>Before treating mycelium as a deployable stabilization option, ask: what evidence supports the intended use, under which conditions, with what monitoring plan, and with what stop-go criteria? If those conditions are not clear, the intervention should still be treated as exploratory rather than operational.</w:t>
      </w:r>
    </w:p>
    <w:tbl>
      <w:tblPr>
        <w:tblW w:type="auto" w:w="0"/>
        <w:jc w:val="center"/>
        <w:tblLook w:firstColumn="1" w:firstRow="1" w:lastColumn="0" w:lastRow="0" w:noHBand="0" w:noVBand="1" w:val="04A0"/>
      </w:tblPr>
      <w:tblGrid>
        <w:gridCol w:w="9524"/>
      </w:tblGrid>
      <w:tr>
        <w:tc>
          <w:tcPr>
            <w:tcW w:type="dxa" w:w="9746"/>
            <w:shd w:fill="FBF9F6"/>
            <w:tcBorders>
              <w:left w:val="single" w:sz="10" w:space="0" w:color="D8CABC"/>
              <w:top w:val="single" w:sz="10" w:space="0" w:color="D8CABC"/>
              <w:right w:val="single" w:sz="10" w:space="0" w:color="D8CABC"/>
              <w:bottom w:val="single" w:sz="10" w:space="0" w:color="D8CABC"/>
            </w:tcBorders>
          </w:tcPr>
          <w:p>
            <w:pPr>
              <w:jc w:val="left"/>
            </w:pPr>
            <w:r>
              <w:rPr>
                <w:b/>
                <w:color w:val="785230"/>
                <w:sz w:val="20"/>
              </w:rPr>
              <w:t>Visual and downloadable brief</w:t>
              <w:br/>
            </w:r>
            <w:r>
              <w:rPr>
                <w:color w:val="2B1A14"/>
                <w:sz w:val="20"/>
              </w:rPr>
              <w:t>Primary visual: process diagram showing post-fire soil problem, engineered fungal growth treatment stage, monitored outcomes, and pilot decision boundary. Downloadable support: field-pilot cautions checklist.</w:t>
            </w:r>
          </w:p>
        </w:tc>
      </w:tr>
    </w:tbl>
    <w:p/>
    <w:tbl>
      <w:tblPr>
        <w:tblW w:type="auto" w:w="0"/>
        <w:jc w:val="center"/>
        <w:tblLook w:firstColumn="1" w:firstRow="1" w:lastColumn="0" w:lastRow="0" w:noHBand="0" w:noVBand="1" w:val="04A0"/>
      </w:tblPr>
      <w:tblGrid>
        <w:gridCol w:w="9524"/>
      </w:tblGrid>
      <w:tr>
        <w:tc>
          <w:tcPr>
            <w:tcW w:type="dxa" w:w="9746"/>
            <w:shd w:fill="FBF9F6"/>
            <w:tcBorders>
              <w:left w:val="single" w:sz="10" w:space="0" w:color="D8CABC"/>
              <w:top w:val="single" w:sz="10" w:space="0" w:color="D8CABC"/>
              <w:right w:val="single" w:sz="10" w:space="0" w:color="D8CABC"/>
              <w:bottom w:val="single" w:sz="10" w:space="0" w:color="D8CABC"/>
            </w:tcBorders>
          </w:tcPr>
          <w:p>
            <w:pPr>
              <w:jc w:val="left"/>
            </w:pPr>
            <w:r>
              <w:rPr>
                <w:b/>
                <w:color w:val="785230"/>
                <w:sz w:val="20"/>
              </w:rPr>
              <w:t>Suggested internal link path</w:t>
              <w:br/>
            </w:r>
            <w:r>
              <w:rPr>
                <w:color w:val="2B1A14"/>
                <w:sz w:val="20"/>
              </w:rPr>
              <w:t>Suggested internal links: Sustainability domain page; Designing a Mycelium-Based Soil Stabilisation Pilot; Circularity Readiness Matrix; Research &amp; Project page.</w:t>
            </w:r>
          </w:p>
        </w:tc>
      </w:tr>
    </w:tbl>
    <w:p/>
    <w:p>
      <w:pPr>
        <w:pStyle w:val="Heading1"/>
      </w:pPr>
      <w:r>
        <w:t>References and source base</w:t>
      </w:r>
    </w:p>
    <w:p>
      <w:pPr>
        <w:ind w:left="283" w:hanging="283"/>
      </w:pPr>
      <w:r>
        <w:rPr>
          <w:color w:val="785230"/>
        </w:rPr>
        <w:t xml:space="preserve">• </w:t>
      </w:r>
      <w:r>
        <w:t>Knowledge Hub Content Deep-Dive for Rankine Innovation Lab: Explainer D brief, outline, and source base.</w:t>
      </w:r>
    </w:p>
    <w:p>
      <w:pPr>
        <w:ind w:left="283" w:hanging="283"/>
      </w:pPr>
      <w:r>
        <w:rPr>
          <w:color w:val="785230"/>
        </w:rPr>
        <w:t xml:space="preserve">• </w:t>
      </w:r>
      <w:r>
        <w:t>Founder-connected evidence cited in the deep-dive: Effect of Engineered Fungal Mycelium Growth on Infiltration and Erosion Resistance in Fire-Affected Soils.</w:t>
      </w:r>
    </w:p>
    <w:p>
      <w:pPr>
        <w:ind w:left="283" w:hanging="283"/>
      </w:pPr>
      <w:r>
        <w:rPr>
          <w:color w:val="785230"/>
        </w:rPr>
        <w:t xml:space="preserve">• </w:t>
      </w:r>
      <w:r>
        <w:t>Supporting trajectory cited in the deep-dive: Mycelium-Based Leather-Like Materials for Sustainable Geotechnical Applications.</w:t>
      </w:r>
    </w:p>
    <w:p>
      <w:pPr>
        <w:ind w:left="283" w:hanging="283"/>
      </w:pPr>
      <w:r>
        <w:rPr>
          <w:color w:val="785230"/>
        </w:rPr>
        <w:t xml:space="preserve">• </w:t>
      </w:r>
      <w:r>
        <w:t>Companion implementation resource cited in the deep-dive: Playbook for designing a mycelium-based soil stabilisation pilot.</w:t>
      </w:r>
    </w:p>
    <w:sectPr w:rsidR="00FC693F" w:rsidRPr="0006063C" w:rsidSect="00034616">
      <w:headerReference w:type="default" r:id="rId9"/>
      <w:footerReference w:type="default" r:id="rId10"/>
      <w:pgSz w:w="12240" w:h="15840"/>
      <w:pgMar w:top="1134" w:right="1247"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6803"/>
      <w:gridCol w:w="2268"/>
    </w:tblGrid>
    <w:tr>
      <w:tc>
        <w:tcPr>
          <w:tcW w:type="dxa" w:w="4873"/>
          <w:vAlign w:val="center"/>
          <w:tcBorders>
            <w:top w:val="single" w:sz="6" w:space="0" w:color="D8CABC"/>
          </w:tcBorders>
        </w:tcPr>
        <w:p>
          <w:pPr>
            <w:jc w:val="left"/>
          </w:pPr>
          <w:r>
            <w:rPr>
              <w:color w:val="785230"/>
              <w:sz w:val="16"/>
            </w:rPr>
            <w:t>Draft content document for website implementation</w:t>
          </w:r>
        </w:p>
      </w:tc>
      <w:tc>
        <w:tcPr>
          <w:tcW w:type="dxa" w:w="4873"/>
          <w:vAlign w:val="center"/>
          <w:tcBorders>
            <w:top w:val="single" w:sz="6" w:space="0" w:color="D8CABC"/>
          </w:tcBorders>
        </w:tcPr>
        <w:p>
          <w:pPr>
            <w:jc w:val="right"/>
          </w:pPr>
          <w:r>
            <w:rPr>
              <w:color w:val="785230"/>
              <w:sz w:val="16"/>
            </w:rPr>
            <w:t xml:space="preserve">Page </w:t>
          </w:r>
          <w:fldSimple w:instr="PAGE">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85230"/>
        <w:sz w:val="17"/>
      </w:rPr>
      <w:t>Rankine Knowledge Hub | Mycelium &amp; Soil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color w:val="2D20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2B1A14"/>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785230"/>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2B1A1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w:hAnsi="Aptos"/>
      <w:b/>
      <w:color w:val="2B1A1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