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Adoption Readiness for Research Teams</w:t>
      </w:r>
    </w:p>
    <w:p>
      <w:pPr>
        <w:pStyle w:val="Subtitle"/>
        <w:jc w:val="left"/>
      </w:pPr>
      <w:r>
        <w:t>Expanded draft | Framework | Domain: AI for STEM Innovation</w:t>
      </w:r>
    </w:p>
    <w:p/>
    <w:tbl>
      <w:tblPr>
        <w:tblStyle w:val="TableGrid"/>
        <w:tblW w:type="auto" w:w="0"/>
        <w:tblLayout w:type="fixed"/>
        <w:tblLook w:firstColumn="1" w:firstRow="1" w:lastColumn="0" w:lastRow="0" w:noHBand="0" w:noVBand="1" w:val="04A0"/>
      </w:tblPr>
      <w:tblGrid>
        <w:gridCol w:w="3024"/>
        <w:gridCol w:w="7056"/>
      </w:tblGrid>
      <w:tr>
        <w:tc>
          <w:tcPr>
            <w:tcW w:type="dxa" w:w="4824"/>
            <w:tcMar>
              <w:top w:w="80" w:type="dxa"/>
              <w:left w:w="80" w:type="dxa"/>
              <w:bottom w:w="80" w:type="dxa"/>
              <w:right w:w="80" w:type="dxa"/>
            </w:tcMar>
          </w:tcPr>
          <w:p>
            <w:pPr>
              <w:spacing w:after="20" w:before="20"/>
            </w:pPr>
            <w:r>
              <w:rPr>
                <w:rFonts w:ascii="Aptos" w:hAnsi="Aptos"/>
                <w:b/>
                <w:color w:val="58301D"/>
                <w:sz w:val="19"/>
              </w:rPr>
              <w:t>Primary type</w:t>
            </w:r>
          </w:p>
        </w:tc>
        <w:tc>
          <w:tcPr>
            <w:tcW w:type="dxa" w:w="4824"/>
            <w:tcMar>
              <w:top w:w="80" w:type="dxa"/>
              <w:left w:w="80" w:type="dxa"/>
              <w:bottom w:w="80" w:type="dxa"/>
              <w:right w:w="80" w:type="dxa"/>
            </w:tcMar>
          </w:tcPr>
          <w:p>
            <w:pPr>
              <w:spacing w:after="20" w:before="20"/>
            </w:pPr>
            <w:r>
              <w:rPr>
                <w:rFonts w:ascii="Aptos" w:hAnsi="Aptos"/>
                <w:sz w:val="19"/>
              </w:rPr>
              <w:t>Framework</w:t>
            </w:r>
          </w:p>
        </w:tc>
      </w:tr>
      <w:tr>
        <w:tc>
          <w:tcPr>
            <w:tcW w:type="dxa" w:w="3024"/>
            <w:tcMar>
              <w:top w:w="80" w:type="dxa"/>
              <w:left w:w="80" w:type="dxa"/>
              <w:bottom w:w="80" w:type="dxa"/>
              <w:right w:w="80" w:type="dxa"/>
            </w:tcMar>
          </w:tcPr>
          <w:p>
            <w:pPr>
              <w:spacing w:after="20" w:before="20"/>
            </w:pPr>
            <w:r>
              <w:rPr>
                <w:rFonts w:ascii="Aptos" w:hAnsi="Aptos"/>
                <w:b/>
                <w:color w:val="58301D"/>
                <w:sz w:val="19"/>
              </w:rPr>
              <w:t>Suggested slug</w:t>
            </w:r>
          </w:p>
        </w:tc>
        <w:tc>
          <w:tcPr>
            <w:tcW w:type="dxa" w:w="7056"/>
            <w:tcMar>
              <w:top w:w="80" w:type="dxa"/>
              <w:left w:w="80" w:type="dxa"/>
              <w:bottom w:w="80" w:type="dxa"/>
              <w:right w:w="80" w:type="dxa"/>
            </w:tcMar>
          </w:tcPr>
          <w:p>
            <w:pPr>
              <w:spacing w:after="20" w:before="20"/>
            </w:pPr>
            <w:r>
              <w:rPr>
                <w:rFonts w:ascii="Aptos" w:hAnsi="Aptos"/>
                <w:sz w:val="19"/>
              </w:rPr>
              <w:t>/knowledge-hub/frameworks/ai-adoption-readiness-research-teams/</w:t>
            </w:r>
          </w:p>
        </w:tc>
      </w:tr>
      <w:tr>
        <w:tc>
          <w:tcPr>
            <w:tcW w:type="dxa" w:w="3024"/>
            <w:tcMar>
              <w:top w:w="80" w:type="dxa"/>
              <w:left w:w="80" w:type="dxa"/>
              <w:bottom w:w="80" w:type="dxa"/>
              <w:right w:w="80" w:type="dxa"/>
            </w:tcMar>
          </w:tcPr>
          <w:p>
            <w:pPr>
              <w:spacing w:after="20" w:before="20"/>
            </w:pPr>
            <w:r>
              <w:rPr>
                <w:rFonts w:ascii="Aptos" w:hAnsi="Aptos"/>
                <w:b/>
                <w:color w:val="58301D"/>
                <w:sz w:val="19"/>
              </w:rPr>
              <w:t>Recommended media</w:t>
            </w:r>
          </w:p>
        </w:tc>
        <w:tc>
          <w:tcPr>
            <w:tcW w:type="dxa" w:w="7056"/>
            <w:tcMar>
              <w:top w:w="80" w:type="dxa"/>
              <w:left w:w="80" w:type="dxa"/>
              <w:bottom w:w="80" w:type="dxa"/>
              <w:right w:w="80" w:type="dxa"/>
            </w:tcMar>
          </w:tcPr>
          <w:p>
            <w:pPr>
              <w:spacing w:after="20" w:before="20"/>
            </w:pPr>
            <w:r>
              <w:rPr>
                <w:rFonts w:ascii="Aptos" w:hAnsi="Aptos"/>
                <w:sz w:val="19"/>
              </w:rPr>
              <w:t>Text + readiness diagram + one-page scorecard</w:t>
            </w:r>
          </w:p>
        </w:tc>
      </w:tr>
      <w:tr>
        <w:tc>
          <w:tcPr>
            <w:tcW w:type="dxa" w:w="3024"/>
            <w:tcMar>
              <w:top w:w="80" w:type="dxa"/>
              <w:left w:w="80" w:type="dxa"/>
              <w:bottom w:w="80" w:type="dxa"/>
              <w:right w:w="80" w:type="dxa"/>
            </w:tcMar>
          </w:tcPr>
          <w:p>
            <w:pPr>
              <w:spacing w:after="20" w:before="20"/>
            </w:pPr>
            <w:r>
              <w:rPr>
                <w:rFonts w:ascii="Aptos" w:hAnsi="Aptos"/>
                <w:b/>
                <w:color w:val="58301D"/>
                <w:sz w:val="19"/>
              </w:rPr>
              <w:t>Audience</w:t>
            </w:r>
          </w:p>
        </w:tc>
        <w:tc>
          <w:tcPr>
            <w:tcW w:type="dxa" w:w="7056"/>
            <w:tcMar>
              <w:top w:w="80" w:type="dxa"/>
              <w:left w:w="80" w:type="dxa"/>
              <w:bottom w:w="80" w:type="dxa"/>
              <w:right w:w="80" w:type="dxa"/>
            </w:tcMar>
          </w:tcPr>
          <w:p>
            <w:pPr>
              <w:spacing w:after="20" w:before="20"/>
            </w:pPr>
            <w:r>
              <w:rPr>
                <w:rFonts w:ascii="Aptos" w:hAnsi="Aptos"/>
                <w:sz w:val="19"/>
              </w:rPr>
              <w:t>Research labs, departments, programme teams, innovation units</w:t>
            </w:r>
          </w:p>
        </w:tc>
      </w:tr>
      <w:tr>
        <w:tc>
          <w:tcPr>
            <w:tcW w:type="dxa" w:w="3024"/>
            <w:tcMar>
              <w:top w:w="80" w:type="dxa"/>
              <w:left w:w="80" w:type="dxa"/>
              <w:bottom w:w="80" w:type="dxa"/>
              <w:right w:w="80" w:type="dxa"/>
            </w:tcMar>
          </w:tcPr>
          <w:p>
            <w:pPr>
              <w:spacing w:after="20" w:before="20"/>
            </w:pPr>
            <w:r>
              <w:rPr>
                <w:rFonts w:ascii="Aptos" w:hAnsi="Aptos"/>
                <w:b/>
                <w:color w:val="58301D"/>
                <w:sz w:val="19"/>
              </w:rPr>
              <w:t>Related pieces</w:t>
            </w:r>
          </w:p>
        </w:tc>
        <w:tc>
          <w:tcPr>
            <w:tcW w:type="dxa" w:w="7056"/>
            <w:tcMar>
              <w:top w:w="80" w:type="dxa"/>
              <w:left w:w="80" w:type="dxa"/>
              <w:bottom w:w="80" w:type="dxa"/>
              <w:right w:w="80" w:type="dxa"/>
            </w:tcMar>
          </w:tcPr>
          <w:p>
            <w:pPr>
              <w:spacing w:after="20" w:before="20"/>
            </w:pPr>
            <w:r>
              <w:rPr>
                <w:rFonts w:ascii="Aptos" w:hAnsi="Aptos"/>
                <w:sz w:val="19"/>
              </w:rPr>
              <w:t>RAG for STEM Decision Support; AI Assurance for STEM Teams</w:t>
            </w:r>
          </w:p>
        </w:tc>
      </w:tr>
    </w:tbl>
    <w:p/>
    <w:p>
      <w:pPr>
        <w:pStyle w:val="Heading1"/>
      </w:pPr>
      <w:r>
        <w:t>What problem this solves</w:t>
      </w:r>
    </w:p>
    <w:p>
      <w:pPr>
        <w:ind w:firstLine="216"/>
      </w:pPr>
      <w:r>
        <w:t>Many teams are experimenting with AI before they are ready to use it well. They may have access to tools, but they often lack clear use cases, good data habits, review workflows, and governance boundaries. That creates a fragile pattern: a burst of excitement followed by uneven quality, confusion about accountability, and low trust from the people who are meant to benefit from the work.</w:t>
      </w:r>
    </w:p>
    <w:p>
      <w:pPr>
        <w:ind w:firstLine="216"/>
      </w:pPr>
      <w:r>
        <w:t>An AI readiness model helps research teams slow down in the right way. It does not ask whether a team is enthusiastic about AI. It asks whether the team has the conditions needed to use AI in a way that is useful, safe, and sustainable. For Rankine, that matters because AI capability is not simply about buying tools. It is about building the people, data, workflow, assurance, and learning conditions that make the tools worth using at all.</w:t>
      </w:r>
    </w:p>
    <w:p>
      <w:pPr>
        <w:ind w:firstLine="216"/>
      </w:pPr>
      <w:r>
        <w:t>The deep-dive positions this piece as a practical framework for institutions, departments, labs, and programme teams. Its purpose is not to produce a pass-or-fail verdict. Its purpose is to reveal where a team is strong, where it is weak, and which improvements will create the biggest increase in real-world readiness.</w:t>
      </w:r>
    </w:p>
    <w:p>
      <w:pPr>
        <w:pStyle w:val="Heading1"/>
      </w:pPr>
      <w:r>
        <w:t>The six readiness dimensions</w:t>
      </w:r>
    </w:p>
    <w:p>
      <w:pPr>
        <w:ind w:firstLine="216"/>
      </w:pPr>
      <w:r>
        <w:t>A usable readiness model needs to be simple enough to apply and rigorous enough to guide decisions. The most practical version for Rankine-style audiences works across six dimensions.</w:t>
      </w:r>
    </w:p>
    <w:p>
      <w:pPr>
        <w:pStyle w:val="Heading2"/>
      </w:pPr>
      <w:r>
        <w:t>1. Problem fit</w:t>
      </w:r>
    </w:p>
    <w:p>
      <w:pPr>
        <w:ind w:firstLine="216"/>
      </w:pPr>
      <w:r>
        <w:t>The first question is whether the team knows what problem it wants AI to improve. Teams with low readiness usually begin with tools and only later search for a justification. High-readiness teams start with workflow pain points such as literature synthesis, translation of technical material, drafting support, or retrieval over trusted documents.</w:t>
      </w:r>
    </w:p>
    <w:p>
      <w:pPr>
        <w:ind w:firstLine="216"/>
      </w:pPr>
      <w:r>
        <w:t>Problem fit also requires deciding what should not be handed to AI. A strong team can clearly distinguish between tasks where assistance is useful and tasks where expert judgment must remain dominant.</w:t>
      </w:r>
    </w:p>
    <w:p>
      <w:pPr>
        <w:pStyle w:val="Heading2"/>
      </w:pPr>
      <w:r>
        <w:t>2. Data and knowledge quality</w:t>
      </w:r>
    </w:p>
    <w:p>
      <w:pPr>
        <w:ind w:firstLine="216"/>
      </w:pPr>
      <w:r>
        <w:t>Even the most capable model will perform poorly if the underlying knowledge base is weak. Teams need to know what documents, datasets, or notes will ground the work; how current they are; who owns them; and whether they are suitable for use.</w:t>
      </w:r>
    </w:p>
    <w:p>
      <w:pPr>
        <w:ind w:firstLine="216"/>
      </w:pPr>
      <w:r>
        <w:t>In practice, this means asking whether the team has enough reliable material to support retrieval, summarisation, or analysis. If the source base is fragmented, stale, or poorly organised, the AI layer will amplify those weaknesses.</w:t>
      </w:r>
    </w:p>
    <w:p>
      <w:pPr>
        <w:pStyle w:val="Heading2"/>
      </w:pPr>
      <w:r>
        <w:t>3. People and skill</w:t>
      </w:r>
    </w:p>
    <w:p>
      <w:pPr>
        <w:ind w:firstLine="216"/>
      </w:pPr>
      <w:r>
        <w:t>Readiness is not just technical. It depends on whether the people involved understand prompting limits, validation duties, domain boundaries, and review standards. A research team may have a technically curious culture and still be unready if nobody owns evaluation or if nobody can challenge weak outputs with confidence.</w:t>
      </w:r>
    </w:p>
    <w:p>
      <w:pPr>
        <w:ind w:firstLine="216"/>
      </w:pPr>
      <w:r>
        <w:t>The right question is not whether the team has AI experts. It is whether the team has the mix of domain knowledge, technical literacy, editorial judgment, and oversight needed for its chosen use cases.</w:t>
      </w:r>
    </w:p>
    <w:p>
      <w:pPr>
        <w:pStyle w:val="Heading2"/>
      </w:pPr>
      <w:r>
        <w:t>4. Workflow design</w:t>
      </w:r>
    </w:p>
    <w:p>
      <w:pPr>
        <w:ind w:firstLine="216"/>
      </w:pPr>
      <w:r>
        <w:t>AI adds value when it fits into a workflow that somebody can repeat. That includes intake, drafting, checking, approval, and storage. Teams with low workflow readiness tend to treat AI interactions as isolated prompts. Teams with high workflow readiness define repeatable steps, output expectations, and handoff points.</w:t>
      </w:r>
    </w:p>
    <w:p>
      <w:pPr>
        <w:ind w:firstLine="216"/>
      </w:pPr>
      <w:r>
        <w:t>This dimension is especially important in applied research environments where material must move between researchers, programme staff, funders, and partners.</w:t>
      </w:r>
    </w:p>
    <w:p>
      <w:pPr>
        <w:pStyle w:val="Heading2"/>
      </w:pPr>
      <w:r>
        <w:t>5. Governance and assurance</w:t>
      </w:r>
    </w:p>
    <w:p>
      <w:pPr>
        <w:ind w:firstLine="216"/>
      </w:pPr>
      <w:r>
        <w:t>A team is not ready if it cannot explain who is responsible for risk, what information is restricted, how outputs are checked, and what happens when the tool fails. The deep-dive connects this dimension to assurance ideas drawn from structured risk frameworks: govern, map, measure, and manage.</w:t>
      </w:r>
    </w:p>
    <w:p>
      <w:pPr>
        <w:ind w:firstLine="216"/>
      </w:pPr>
      <w:r>
        <w:t>Governance does not mean bureaucracy for its own sake. It means setting minimum rules so that quality, security, and accountability do not depend on improvisation.</w:t>
      </w:r>
    </w:p>
    <w:p>
      <w:pPr>
        <w:pStyle w:val="Heading2"/>
      </w:pPr>
      <w:r>
        <w:t>6. Learning and improvement</w:t>
      </w:r>
    </w:p>
    <w:p>
      <w:pPr>
        <w:ind w:firstLine="216"/>
      </w:pPr>
      <w:r>
        <w:t>The final dimension is whether the team can learn from use. Mature teams collect examples, error patterns, user feedback, and performance signals. Immature teams repeat the same experiments without a clear evaluation loop.</w:t>
      </w:r>
    </w:p>
    <w:p>
      <w:pPr>
        <w:ind w:firstLine="216"/>
      </w:pPr>
      <w:r>
        <w:t>If readiness is treated as a one-time assessment, it quickly becomes cosmetic. The model works best when it is used as a recurring planning and review tool.</w:t>
      </w:r>
    </w:p>
    <w:p>
      <w:pPr>
        <w:pStyle w:val="Heading1"/>
      </w:pPr>
      <w:r>
        <w:t>How to score a team</w:t>
      </w:r>
    </w:p>
    <w:p>
      <w:pPr>
        <w:ind w:firstLine="216"/>
      </w:pPr>
      <w:r>
        <w:t>A simple scoring approach works well. Rate each dimension from 1 to 5. A score of 1 means the capability is largely absent or informal. A score of 3 means there is partial structure but significant inconsistency. A score of 5 means the capability is explicit, repeatable, and reviewed over time.</w:t>
      </w:r>
    </w:p>
    <w:p>
      <w:pPr>
        <w:ind w:firstLine="216"/>
      </w:pPr>
      <w:r>
        <w:t>Teams should avoid turning this into a vanity exercise. A lower score is not a failure. It is useful evidence. In most cases, the pattern of scores matters more than the total. A team with strong enthusiasm and weak governance is not ready. A team with strong governance and no clear use case is also not ready in a meaningful sense.</w:t>
      </w:r>
    </w:p>
    <w:p>
      <w:pPr>
        <w:pStyle w:val="Heading1"/>
      </w:pPr>
      <w:r>
        <w:t>What low, medium, and high readiness look like</w:t>
      </w:r>
    </w:p>
    <w:p>
      <w:pPr>
        <w:pStyle w:val="Heading2"/>
      </w:pPr>
      <w:r>
        <w:t>Low readiness</w:t>
      </w:r>
    </w:p>
    <w:p>
      <w:pPr>
        <w:ind w:firstLine="216"/>
      </w:pPr>
      <w:r>
        <w:t>The team is exploring tools casually, but it has not defined a narrow problem, a trusted source base, or a review process. Outputs vary widely in quality. People are interested, but roles and quality thresholds are unclear.</w:t>
      </w:r>
    </w:p>
    <w:p>
      <w:pPr>
        <w:pStyle w:val="Heading2"/>
      </w:pPr>
      <w:r>
        <w:t>Medium readiness</w:t>
      </w:r>
    </w:p>
    <w:p>
      <w:pPr>
        <w:ind w:firstLine="216"/>
      </w:pPr>
      <w:r>
        <w:t>The team has one or two promising use cases and some internal patterns for prompting, checking, or retrieval. However, governance, documentation, or evaluation still depend too much on a few motivated individuals.</w:t>
      </w:r>
    </w:p>
    <w:p>
      <w:pPr>
        <w:pStyle w:val="Heading2"/>
      </w:pPr>
      <w:r>
        <w:t>High readiness</w:t>
      </w:r>
    </w:p>
    <w:p>
      <w:pPr>
        <w:ind w:firstLine="216"/>
      </w:pPr>
      <w:r>
        <w:t>The team knows where AI fits, where it does not fit, what knowledge grounds it, who reviews it, and how performance is monitored. It can explain its standards to internal and external stakeholders. It also knows what the next level of improvement should be.</w:t>
      </w:r>
    </w:p>
    <w:p>
      <w:pPr>
        <w:pStyle w:val="Heading1"/>
      </w:pPr>
      <w:r>
        <w:t>A short worked example</w:t>
      </w:r>
    </w:p>
    <w:p>
      <w:pPr>
        <w:ind w:firstLine="216"/>
      </w:pPr>
      <w:r>
        <w:t>Consider a research support team that wants to use AI for literature briefing, workshop preparation, and document querying. It may score highly on problem fit because the tasks are clear. It may score moderately on people and workflow if staff understand the use cases but do not yet document procedures consistently. It may score low on data quality if documents are spread across email threads and cloud folders without version control.</w:t>
      </w:r>
    </w:p>
    <w:p>
      <w:pPr>
        <w:ind w:firstLine="216"/>
      </w:pPr>
      <w:r>
        <w:t>The model immediately tells the team where to focus. It does not need to start with more tools. It needs to improve its knowledge base and make its review process explicit. That is what makes the framework useful: it converts vague excitement into an ordered improvement path.</w:t>
      </w:r>
    </w:p>
    <w:p>
      <w:pPr>
        <w:pStyle w:val="Heading1"/>
      </w:pPr>
      <w:r>
        <w:t>How to use this framework in practice</w:t>
      </w:r>
    </w:p>
    <w:p>
      <w:pPr>
        <w:ind w:firstLine="216"/>
      </w:pPr>
      <w:r>
        <w:t>Use the model at the start of an initiative, then again after a pilot. Discuss the scores openly, but back them with examples. Ask what evidence supports the score, what recent failure or success illustrates it, and what one action would move the score by one level over the next quarter.</w:t>
      </w:r>
    </w:p>
    <w:p>
      <w:pPr>
        <w:ind w:firstLine="216"/>
      </w:pPr>
      <w:r>
        <w:t>The framework is most useful when it feeds action. A readiness assessment should lead to a small number of deliberate priorities: perhaps building a trusted document set, assigning a review owner, or documenting a standard workflow for one narrow task.</w:t>
      </w:r>
    </w:p>
    <w:p>
      <w:pPr>
        <w:pStyle w:val="Heading1"/>
      </w:pPr>
      <w:r>
        <w:t>Common mistakes</w:t>
      </w:r>
    </w:p>
    <w:p>
      <w:pPr>
        <w:ind w:firstLine="216"/>
      </w:pPr>
      <w:r>
        <w:t>The most common mistake is to confuse tool access with readiness. Another is to over-score teams on the basis of isolated success stories. A third is to assess readiness without considering risk. High output volume is not evidence of maturity if the team cannot explain how it manages error, confidentiality, and accountability.</w:t>
      </w:r>
    </w:p>
    <w:p>
      <w:pPr>
        <w:ind w:firstLine="216"/>
      </w:pPr>
      <w:r>
        <w:t>Another frequent mistake is to treat readiness as static. Teams, tools, and constraints change quickly. A useful assessment is one that can be repeated without becoming burdensome.</w:t>
      </w:r>
    </w:p>
    <w:p>
      <w:pPr>
        <w:pStyle w:val="Heading1"/>
      </w:pPr>
      <w:r>
        <w:t>Practical checklist</w:t>
      </w:r>
    </w:p>
    <w:p>
      <w:pPr>
        <w:ind w:firstLine="216"/>
      </w:pPr>
      <w:r>
        <w:t>Before moving forward, a team should be able to answer six questions clearly: What problem are we solving? What source base grounds the work? Who reviews the output? What is restricted? How do we know the workflow is working? What will we improve next?</w:t>
      </w:r>
    </w:p>
    <w:p>
      <w:pPr>
        <w:ind w:firstLine="216"/>
      </w:pPr>
      <w:r>
        <w:t>If those questions cannot be answered with confidence, the team is not yet ready for anything beyond limited experimentation.</w:t>
      </w:r>
    </w:p>
    <w:p>
      <w:pPr>
        <w:pStyle w:val="Heading1"/>
      </w:pPr>
      <w:r>
        <w:t>References and source base</w:t>
      </w:r>
    </w:p>
    <w:p>
      <w:pPr>
        <w:ind w:firstLine="216"/>
      </w:pPr>
      <w:r>
        <w:t>• Knowledge Hub Content Deep-Dive for Rankine Innovation Lab: Framework-style treatment of AI risk, RAG, and quality assurance, including the proposed first-wave slate.</w:t>
      </w:r>
    </w:p>
    <w:p>
      <w:pPr>
        <w:ind w:firstLine="216"/>
      </w:pPr>
      <w:r>
        <w:t>• Founder-connected GenAI evidence base identified in the deep-dive, especially the construction and water-systems papers that show the value of grounded use cases and review-oriented adoption.</w:t>
      </w:r>
    </w:p>
    <w:p>
      <w:pPr>
        <w:ind w:firstLine="216"/>
      </w:pPr>
      <w:r>
        <w:t>• NIST AI Risk Management concepts referenced in the deep-dive as the assurance spine for governance, mapping, measurement, and management.</w:t>
      </w:r>
    </w:p>
    <w:sectPr w:rsidR="00FC693F" w:rsidRPr="0006063C" w:rsidSect="00034616">
      <w:head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5A46"/>
        <w:sz w:val="18"/>
      </w:rPr>
      <w:t>Rankine Knowledge Hub | AI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58301D"/>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58301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9281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24F4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