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What Biogeotechnics Is and Why It Matters</w:t>
      </w:r>
    </w:p>
    <w:p>
      <w:pPr>
        <w:pStyle w:val="Subtitle"/>
        <w:jc w:val="left"/>
      </w:pPr>
      <w:r>
        <w:t>Expanded draft | Explainer | Domain: Cross-Disciplinary Innovation</w:t>
      </w:r>
    </w:p>
    <w:p/>
    <w:tbl>
      <w:tblPr>
        <w:tblStyle w:val="TableGrid"/>
        <w:tblW w:type="auto" w:w="0"/>
        <w:tblLayout w:type="fixed"/>
        <w:tblLook w:firstColumn="1" w:firstRow="1" w:lastColumn="0" w:lastRow="0" w:noHBand="0" w:noVBand="1" w:val="04A0"/>
      </w:tblPr>
      <w:tblGrid>
        <w:gridCol w:w="3024"/>
        <w:gridCol w:w="7056"/>
      </w:tblGrid>
      <w:tr>
        <w:tc>
          <w:tcPr>
            <w:tcW w:type="dxa" w:w="4824"/>
            <w:tcMar>
              <w:top w:w="80" w:type="dxa"/>
              <w:left w:w="80" w:type="dxa"/>
              <w:bottom w:w="80" w:type="dxa"/>
              <w:right w:w="80" w:type="dxa"/>
            </w:tcMar>
          </w:tcPr>
          <w:p>
            <w:pPr>
              <w:spacing w:after="20" w:before="20"/>
            </w:pPr>
            <w:r>
              <w:rPr>
                <w:rFonts w:ascii="Aptos" w:hAnsi="Aptos"/>
                <w:b/>
                <w:color w:val="58301D"/>
                <w:sz w:val="19"/>
              </w:rPr>
              <w:t>Primary type</w:t>
            </w:r>
          </w:p>
        </w:tc>
        <w:tc>
          <w:tcPr>
            <w:tcW w:type="dxa" w:w="4824"/>
            <w:tcMar>
              <w:top w:w="80" w:type="dxa"/>
              <w:left w:w="80" w:type="dxa"/>
              <w:bottom w:w="80" w:type="dxa"/>
              <w:right w:w="80" w:type="dxa"/>
            </w:tcMar>
          </w:tcPr>
          <w:p>
            <w:pPr>
              <w:spacing w:after="20" w:before="20"/>
            </w:pPr>
            <w:r>
              <w:rPr>
                <w:rFonts w:ascii="Aptos" w:hAnsi="Aptos"/>
                <w:sz w:val="19"/>
              </w:rPr>
              <w:t>Explainer</w:t>
            </w:r>
          </w:p>
        </w:tc>
      </w:tr>
      <w:tr>
        <w:tc>
          <w:tcPr>
            <w:tcW w:type="dxa" w:w="3024"/>
            <w:tcMar>
              <w:top w:w="80" w:type="dxa"/>
              <w:left w:w="80" w:type="dxa"/>
              <w:bottom w:w="80" w:type="dxa"/>
              <w:right w:w="80" w:type="dxa"/>
            </w:tcMar>
          </w:tcPr>
          <w:p>
            <w:pPr>
              <w:spacing w:after="20" w:before="20"/>
            </w:pPr>
            <w:r>
              <w:rPr>
                <w:rFonts w:ascii="Aptos" w:hAnsi="Aptos"/>
                <w:b/>
                <w:color w:val="58301D"/>
                <w:sz w:val="19"/>
              </w:rPr>
              <w:t>Suggested slug</w:t>
            </w:r>
          </w:p>
        </w:tc>
        <w:tc>
          <w:tcPr>
            <w:tcW w:type="dxa" w:w="7056"/>
            <w:tcMar>
              <w:top w:w="80" w:type="dxa"/>
              <w:left w:w="80" w:type="dxa"/>
              <w:bottom w:w="80" w:type="dxa"/>
              <w:right w:w="80" w:type="dxa"/>
            </w:tcMar>
          </w:tcPr>
          <w:p>
            <w:pPr>
              <w:spacing w:after="20" w:before="20"/>
            </w:pPr>
            <w:r>
              <w:rPr>
                <w:rFonts w:ascii="Aptos" w:hAnsi="Aptos"/>
                <w:sz w:val="19"/>
              </w:rPr>
              <w:t>/knowledge-hub/explainers/what-biogeotechnics-is-and-why-it-matters/</w:t>
            </w:r>
          </w:p>
        </w:tc>
      </w:tr>
      <w:tr>
        <w:tc>
          <w:tcPr>
            <w:tcW w:type="dxa" w:w="3024"/>
            <w:tcMar>
              <w:top w:w="80" w:type="dxa"/>
              <w:left w:w="80" w:type="dxa"/>
              <w:bottom w:w="80" w:type="dxa"/>
              <w:right w:w="80" w:type="dxa"/>
            </w:tcMar>
          </w:tcPr>
          <w:p>
            <w:pPr>
              <w:spacing w:after="20" w:before="20"/>
            </w:pPr>
            <w:r>
              <w:rPr>
                <w:rFonts w:ascii="Aptos" w:hAnsi="Aptos"/>
                <w:b/>
                <w:color w:val="58301D"/>
                <w:sz w:val="19"/>
              </w:rPr>
              <w:t>Recommended media</w:t>
            </w:r>
          </w:p>
        </w:tc>
        <w:tc>
          <w:tcPr>
            <w:tcW w:type="dxa" w:w="7056"/>
            <w:tcMar>
              <w:top w:w="80" w:type="dxa"/>
              <w:left w:w="80" w:type="dxa"/>
              <w:bottom w:w="80" w:type="dxa"/>
              <w:right w:w="80" w:type="dxa"/>
            </w:tcMar>
          </w:tcPr>
          <w:p>
            <w:pPr>
              <w:spacing w:after="20" w:before="20"/>
            </w:pPr>
            <w:r>
              <w:rPr>
                <w:rFonts w:ascii="Aptos" w:hAnsi="Aptos"/>
                <w:sz w:val="19"/>
              </w:rPr>
              <w:t>Text + concept infographic + optional short video</w:t>
            </w:r>
          </w:p>
        </w:tc>
      </w:tr>
      <w:tr>
        <w:tc>
          <w:tcPr>
            <w:tcW w:type="dxa" w:w="3024"/>
            <w:tcMar>
              <w:top w:w="80" w:type="dxa"/>
              <w:left w:w="80" w:type="dxa"/>
              <w:bottom w:w="80" w:type="dxa"/>
              <w:right w:w="80" w:type="dxa"/>
            </w:tcMar>
          </w:tcPr>
          <w:p>
            <w:pPr>
              <w:spacing w:after="20" w:before="20"/>
            </w:pPr>
            <w:r>
              <w:rPr>
                <w:rFonts w:ascii="Aptos" w:hAnsi="Aptos"/>
                <w:b/>
                <w:color w:val="58301D"/>
                <w:sz w:val="19"/>
              </w:rPr>
              <w:t>Audience</w:t>
            </w:r>
          </w:p>
        </w:tc>
        <w:tc>
          <w:tcPr>
            <w:tcW w:type="dxa" w:w="7056"/>
            <w:tcMar>
              <w:top w:w="80" w:type="dxa"/>
              <w:left w:w="80" w:type="dxa"/>
              <w:bottom w:w="80" w:type="dxa"/>
              <w:right w:w="80" w:type="dxa"/>
            </w:tcMar>
          </w:tcPr>
          <w:p>
            <w:pPr>
              <w:spacing w:after="20" w:before="20"/>
            </w:pPr>
            <w:r>
              <w:rPr>
                <w:rFonts w:ascii="Aptos" w:hAnsi="Aptos"/>
                <w:sz w:val="19"/>
              </w:rPr>
              <w:t>Researchers, engineers, students, sustainability practitioners</w:t>
            </w:r>
          </w:p>
        </w:tc>
      </w:tr>
      <w:tr>
        <w:tc>
          <w:tcPr>
            <w:tcW w:type="dxa" w:w="3024"/>
            <w:tcMar>
              <w:top w:w="80" w:type="dxa"/>
              <w:left w:w="80" w:type="dxa"/>
              <w:bottom w:w="80" w:type="dxa"/>
              <w:right w:w="80" w:type="dxa"/>
            </w:tcMar>
          </w:tcPr>
          <w:p>
            <w:pPr>
              <w:spacing w:after="20" w:before="20"/>
            </w:pPr>
            <w:r>
              <w:rPr>
                <w:rFonts w:ascii="Aptos" w:hAnsi="Aptos"/>
                <w:b/>
                <w:color w:val="58301D"/>
                <w:sz w:val="19"/>
              </w:rPr>
              <w:t>Related pieces</w:t>
            </w:r>
          </w:p>
        </w:tc>
        <w:tc>
          <w:tcPr>
            <w:tcW w:type="dxa" w:w="7056"/>
            <w:tcMar>
              <w:top w:w="80" w:type="dxa"/>
              <w:left w:w="80" w:type="dxa"/>
              <w:bottom w:w="80" w:type="dxa"/>
              <w:right w:w="80" w:type="dxa"/>
            </w:tcMar>
          </w:tcPr>
          <w:p>
            <w:pPr>
              <w:spacing w:after="20" w:before="20"/>
            </w:pPr>
            <w:r>
              <w:rPr>
                <w:rFonts w:ascii="Aptos" w:hAnsi="Aptos"/>
                <w:sz w:val="19"/>
              </w:rPr>
              <w:t>Mycelium and Soil Resilience; Screening Framework for Bio-Based Material Innovation</w:t>
            </w:r>
          </w:p>
        </w:tc>
      </w:tr>
    </w:tbl>
    <w:p/>
    <w:p>
      <w:pPr>
        <w:pStyle w:val="Heading1"/>
      </w:pPr>
      <w:r>
        <w:t>What problem this solves</w:t>
      </w:r>
    </w:p>
    <w:p>
      <w:pPr>
        <w:ind w:firstLine="216"/>
      </w:pPr>
      <w:r>
        <w:t>Biogeotechnics is the kind of term that can either unlock a field or obscure it. For some readers it sounds like an exciting frontier. For others it sounds too specialised to matter outside a narrow academic community. Both reactions miss its practical significance.</w:t>
      </w:r>
    </w:p>
    <w:p>
      <w:pPr>
        <w:ind w:firstLine="216"/>
      </w:pPr>
      <w:r>
        <w:t>At its core, biogeotechnics sits at the intersection of biology, soil behaviour, materials science, and engineering performance. It asks how living systems, biological agents, or biologically derived materials can change the properties of soil and related geotechnical systems in ways that are useful, measurable, and potentially more sustainable than conventional approaches.</w:t>
      </w:r>
    </w:p>
    <w:p>
      <w:pPr>
        <w:ind w:firstLine="216"/>
      </w:pPr>
      <w:r>
        <w:t>For Rankine, this topic matters because it embodies cross-disciplinary innovation in a very literal way. It joins environmental intelligence, material innovation, and engineering decision-making. It also offers a way to think seriously about nature-based interventions without drifting into vague sustainability language.</w:t>
      </w:r>
    </w:p>
    <w:p>
      <w:pPr>
        <w:pStyle w:val="Heading1"/>
      </w:pPr>
      <w:r>
        <w:t>What biogeotechnics actually means</w:t>
      </w:r>
    </w:p>
    <w:p>
      <w:pPr>
        <w:ind w:firstLine="216"/>
      </w:pPr>
      <w:r>
        <w:t>The simplest way to define biogeotechnics is this: it is the use of biological processes, biological organisms, or biologically derived materials to improve, stabilise, monitor, or otherwise alter the behaviour of geotechnical systems.</w:t>
      </w:r>
    </w:p>
    <w:p>
      <w:pPr>
        <w:ind w:firstLine="216"/>
      </w:pPr>
      <w:r>
        <w:t>That can include microbes, fungi, fibres, or other bio-based materials that influence strength, erosion resistance, cracking behaviour, water movement, or durability. The field is not just about replacing one material with another. It is about understanding how biological action interacts with physical performance under real constraints.</w:t>
      </w:r>
    </w:p>
    <w:p>
      <w:pPr>
        <w:ind w:firstLine="216"/>
      </w:pPr>
      <w:r>
        <w:t>This makes the field both promising and demanding. It is promising because it opens pathways that conventional methods may not offer. It is demanding because biological systems are context-sensitive. They behave differently across environments, time scales, and implementation conditions.</w:t>
      </w:r>
    </w:p>
    <w:p>
      <w:pPr>
        <w:pStyle w:val="Heading1"/>
      </w:pPr>
      <w:r>
        <w:t>Why this matters now</w:t>
      </w:r>
    </w:p>
    <w:p>
      <w:pPr>
        <w:pStyle w:val="Heading2"/>
      </w:pPr>
      <w:r>
        <w:t>Sustainability pressure is increasing</w:t>
      </w:r>
    </w:p>
    <w:p>
      <w:pPr>
        <w:ind w:firstLine="216"/>
      </w:pPr>
      <w:r>
        <w:t>Many infrastructure and environmental systems are under pressure to reduce environmental burden while improving resilience. That creates interest in interventions that use less energy, reduce waste, or work more naturally with local systems rather than against them.</w:t>
      </w:r>
    </w:p>
    <w:p>
      <w:pPr>
        <w:pStyle w:val="Heading2"/>
      </w:pPr>
      <w:r>
        <w:t>Conventional fixes are not always enough</w:t>
      </w:r>
    </w:p>
    <w:p>
      <w:pPr>
        <w:ind w:firstLine="216"/>
      </w:pPr>
      <w:r>
        <w:t>Traditional geotechnical interventions can be effective, but they may also be expensive, carbon-intensive, or poorly suited to fragile landscapes. In some settings, there is value in asking whether biology can supplement or reshape the intervention logic.</w:t>
      </w:r>
    </w:p>
    <w:p>
      <w:pPr>
        <w:pStyle w:val="Heading2"/>
      </w:pPr>
      <w:r>
        <w:t>The material frontier is widening</w:t>
      </w:r>
    </w:p>
    <w:p>
      <w:pPr>
        <w:ind w:firstLine="216"/>
      </w:pPr>
      <w:r>
        <w:t>Adegoke’s research cluster, as mapped in the deep-dive, points to an expanding space that includes fungal mycelium, fibre-reinforced soil systems, and mycelium-based material reviews. That suggests the field is not limited to one use case. It is becoming a broader conversation about engineered biological performance in geotechnical applications.</w:t>
      </w:r>
    </w:p>
    <w:p>
      <w:pPr>
        <w:pStyle w:val="Heading1"/>
      </w:pPr>
      <w:r>
        <w:t>A useful way to think about the field</w:t>
      </w:r>
    </w:p>
    <w:p>
      <w:pPr>
        <w:ind w:firstLine="216"/>
      </w:pPr>
      <w:r>
        <w:t>Biogeotechnics can be understood through three practical questions.</w:t>
      </w:r>
    </w:p>
    <w:p>
      <w:pPr>
        <w:ind w:firstLine="216"/>
      </w:pPr>
      <w:r>
        <w:t>First, what biological mechanism is doing the work? In some cases, the mechanism involves growth, binding, or chemical interaction. In others, it involves using biologically derived material forms that change structure, water behaviour, or reinforcement effects.</w:t>
      </w:r>
    </w:p>
    <w:p>
      <w:pPr>
        <w:ind w:firstLine="216"/>
      </w:pPr>
      <w:r>
        <w:t>Second, what geotechnical property is being targeted? This could include erosion resistance, infiltration behaviour, cracking, stiffness, strength, dust mitigation, or surface stability.</w:t>
      </w:r>
    </w:p>
    <w:p>
      <w:pPr>
        <w:ind w:firstLine="216"/>
      </w:pPr>
      <w:r>
        <w:t>Third, what is the implementation horizon? Some ideas are still laboratory-bound. Others are ready for carefully designed pilot work. That distinction matters, because public interest often moves faster than field validation.</w:t>
      </w:r>
    </w:p>
    <w:p>
      <w:pPr>
        <w:pStyle w:val="Heading1"/>
      </w:pPr>
      <w:r>
        <w:t>Mycelium as a compelling example</w:t>
      </w:r>
    </w:p>
    <w:p>
      <w:pPr>
        <w:ind w:firstLine="216"/>
      </w:pPr>
      <w:r>
        <w:t>Mycelium has become one of the most visible entry points into this conversation. In the inventoried founder-connected research, engineered fungal mycelium is presented not as a metaphor for sustainability, but as a measurable intervention with effects on infiltration and erosion resistance in fire-affected soils.</w:t>
      </w:r>
    </w:p>
    <w:p>
      <w:pPr>
        <w:ind w:firstLine="216"/>
      </w:pPr>
      <w:r>
        <w:t>The importance of this example is not just the result itself. It is the research discipline around it. The work distinguishes what was observed in controlled settings from what still requires validation in the field. That kind of boundary-setting is exactly what a serious emerging field needs.</w:t>
      </w:r>
    </w:p>
    <w:p>
      <w:pPr>
        <w:ind w:firstLine="216"/>
      </w:pPr>
      <w:r>
        <w:t>Mycelium also matters because it expands the imagination of engineering materials. It encourages a shift from asking only whether a material is strong enough to asking whether it is context-appropriate, regenerative, scalable, and environmentally credible.</w:t>
      </w:r>
    </w:p>
    <w:p>
      <w:pPr>
        <w:pStyle w:val="Heading1"/>
      </w:pPr>
      <w:r>
        <w:t>How biogeotechnics differs from generic nature-based solutions</w:t>
      </w:r>
    </w:p>
    <w:p>
      <w:pPr>
        <w:ind w:firstLine="216"/>
      </w:pPr>
      <w:r>
        <w:t>The phrase nature-based solutions is often used too broadly. Biogeotechnics is more specific. It is not simply the idea of using something natural. It is the disciplined study of how biological or bio-derived mechanisms alter engineering performance.</w:t>
      </w:r>
    </w:p>
    <w:p>
      <w:pPr>
        <w:ind w:firstLine="216"/>
      </w:pPr>
      <w:r>
        <w:t>That distinction matters because it forces measurement. A true biogeotechnical intervention must be evaluated through performance criteria, not just ecological appeal. It also forces caution. Biological systems can introduce variability, dependency on local conditions, and time-based changes that require careful monitoring.</w:t>
      </w:r>
    </w:p>
    <w:p>
      <w:pPr>
        <w:pStyle w:val="Heading1"/>
      </w:pPr>
      <w:r>
        <w:t>Where the field is strongest</w:t>
      </w:r>
    </w:p>
    <w:p>
      <w:pPr>
        <w:pStyle w:val="Heading2"/>
      </w:pPr>
      <w:r>
        <w:t>Soil behaviour and surface performance</w:t>
      </w:r>
    </w:p>
    <w:p>
      <w:pPr>
        <w:ind w:firstLine="216"/>
      </w:pPr>
      <w:r>
        <w:t>The founder-connected work is especially relevant where soil performance, infiltration behaviour, crack control, erosion resistance, and reinforcement effects are central. These are domains where biological interactions can have real operational consequences.</w:t>
      </w:r>
    </w:p>
    <w:p>
      <w:pPr>
        <w:pStyle w:val="Heading2"/>
      </w:pPr>
      <w:r>
        <w:t>Material innovation with sustainability implications</w:t>
      </w:r>
    </w:p>
    <w:p>
      <w:pPr>
        <w:ind w:firstLine="216"/>
      </w:pPr>
      <w:r>
        <w:t>Bio-based material thinking becomes especially powerful when it is paired with performance screening rather than romantic claims. The field is strongest when it can show how a material behaves, where it can be used, and what trade-offs accompany it.</w:t>
      </w:r>
    </w:p>
    <w:p>
      <w:pPr>
        <w:pStyle w:val="Heading2"/>
      </w:pPr>
      <w:r>
        <w:t>Lab-to-pilot pathways</w:t>
      </w:r>
    </w:p>
    <w:p>
      <w:pPr>
        <w:ind w:firstLine="216"/>
      </w:pPr>
      <w:r>
        <w:t>One of the strongest opportunities for Rankine is to translate emerging biogeotechnical work into careful pilot logic. This is where the Knowledge Hub can be useful: not by overstating readiness, but by helping readers understand how a promising lab result becomes a responsibly scoped field intervention.</w:t>
      </w:r>
    </w:p>
    <w:p>
      <w:pPr>
        <w:pStyle w:val="Heading1"/>
      </w:pPr>
      <w:r>
        <w:t>Where the field is still limited</w:t>
      </w:r>
    </w:p>
    <w:p>
      <w:pPr>
        <w:ind w:firstLine="216"/>
      </w:pPr>
      <w:r>
        <w:t>Biogeotechnics is still emerging in many of its most exciting forms. Field validation remains a major issue. Scalability is another. A treatment or material that performs well in a controlled experimental setting may not behave the same way under fluctuating weather, maintenance gaps, or local ecological conditions.</w:t>
      </w:r>
    </w:p>
    <w:p>
      <w:pPr>
        <w:ind w:firstLine="216"/>
      </w:pPr>
      <w:r>
        <w:t>There is also a communication challenge. Because the field sounds novel, it can attract both inflated claims and premature simplification. Good communication needs to hold both promise and uncertainty together.</w:t>
      </w:r>
    </w:p>
    <w:p>
      <w:pPr>
        <w:pStyle w:val="Heading1"/>
      </w:pPr>
      <w:r>
        <w:t>What this means for practice</w:t>
      </w:r>
    </w:p>
    <w:p>
      <w:pPr>
        <w:ind w:firstLine="216"/>
      </w:pPr>
      <w:r>
        <w:t>For practitioners, the right takeaway is not that biology will replace conventional geotechnics. It is that biological and bio-based approaches deserve serious evaluation where they can improve resilience, reduce environmental burden, or open new intervention options.</w:t>
      </w:r>
    </w:p>
    <w:p>
      <w:pPr>
        <w:ind w:firstLine="216"/>
      </w:pPr>
      <w:r>
        <w:t>For researchers and innovation labs, the field offers something equally important: a model of genuine interdisciplinary work. Biogeotechnics is not merely engineering plus biology. It is a test of whether those domains can be integrated into a coherent performance logic.</w:t>
      </w:r>
    </w:p>
    <w:p>
      <w:pPr>
        <w:pStyle w:val="Heading1"/>
      </w:pPr>
      <w:r>
        <w:t>A practical takeaway</w:t>
      </w:r>
    </w:p>
    <w:p>
      <w:pPr>
        <w:ind w:firstLine="216"/>
      </w:pPr>
      <w:r>
        <w:t>If a team is exploring this area, it should begin with three questions. What exact performance problem are we trying to influence? What evidence base supports the biological approach? What level of implementation confidence do we actually have?</w:t>
      </w:r>
    </w:p>
    <w:p>
      <w:pPr>
        <w:ind w:firstLine="216"/>
      </w:pPr>
      <w:r>
        <w:t>Those questions do not reduce the ambition of the field. They make it usable.</w:t>
      </w:r>
    </w:p>
    <w:p>
      <w:pPr>
        <w:pStyle w:val="Heading1"/>
      </w:pPr>
      <w:r>
        <w:t>References and source base</w:t>
      </w:r>
    </w:p>
    <w:p>
      <w:pPr>
        <w:ind w:firstLine="216"/>
      </w:pPr>
      <w:r>
        <w:t>• Knowledge Hub Content Deep-Dive for Rankine Innovation Lab: first-wave explainer and framework directions for biogeotechnics, mycelium, and bio-based material innovation.</w:t>
      </w:r>
    </w:p>
    <w:p>
      <w:pPr>
        <w:ind w:firstLine="216"/>
      </w:pPr>
      <w:r>
        <w:t>• Founder-connected evidence base in the deep-dive: the fire-affected soils paper, fibre-reinforced soil work, and the mycelium-based leather-like materials review listing.</w:t>
      </w:r>
    </w:p>
    <w:p>
      <w:pPr>
        <w:ind w:firstLine="216"/>
      </w:pPr>
      <w:r>
        <w:t>• The Rankine domain framing on cross-disciplinary innovation and sustainability, which makes this topic strategically central to the brand.</w:t>
      </w:r>
    </w:p>
    <w:sectPr w:rsidR="00FC693F" w:rsidRPr="0006063C" w:rsidSect="00034616">
      <w:head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5A46"/>
        <w:sz w:val="18"/>
      </w:rPr>
      <w:t>Rankine Knowledge Hub | Biogeotechnics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58301D"/>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5830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9281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24F4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