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How to Turn a Research Paper into a Decision Brief</w:t>
      </w:r>
    </w:p>
    <w:p>
      <w:pPr>
        <w:pStyle w:val="Subtitle"/>
        <w:jc w:val="left"/>
      </w:pPr>
      <w:r>
        <w:t>Expanded draft | Playbook | Domain: Cross-Disciplinary Innovation</w:t>
      </w:r>
    </w:p>
    <w:p/>
    <w:tbl>
      <w:tblPr>
        <w:tblStyle w:val="TableGrid"/>
        <w:tblW w:type="auto" w:w="0"/>
        <w:tblLayout w:type="fixed"/>
        <w:tblLook w:firstColumn="1" w:firstRow="1" w:lastColumn="0" w:lastRow="0" w:noHBand="0" w:noVBand="1" w:val="04A0"/>
      </w:tblPr>
      <w:tblGrid>
        <w:gridCol w:w="3024"/>
        <w:gridCol w:w="7056"/>
      </w:tblGrid>
      <w:tr>
        <w:tc>
          <w:tcPr>
            <w:tcW w:type="dxa" w:w="4824"/>
            <w:tcMar>
              <w:top w:w="80" w:type="dxa"/>
              <w:left w:w="80" w:type="dxa"/>
              <w:bottom w:w="80" w:type="dxa"/>
              <w:right w:w="80" w:type="dxa"/>
            </w:tcMar>
          </w:tcPr>
          <w:p>
            <w:pPr>
              <w:spacing w:after="20" w:before="20"/>
            </w:pPr>
            <w:r>
              <w:rPr>
                <w:rFonts w:ascii="Aptos" w:hAnsi="Aptos"/>
                <w:b/>
                <w:color w:val="58301D"/>
                <w:sz w:val="19"/>
              </w:rPr>
              <w:t>Primary type</w:t>
            </w:r>
          </w:p>
        </w:tc>
        <w:tc>
          <w:tcPr>
            <w:tcW w:type="dxa" w:w="4824"/>
            <w:tcMar>
              <w:top w:w="80" w:type="dxa"/>
              <w:left w:w="80" w:type="dxa"/>
              <w:bottom w:w="80" w:type="dxa"/>
              <w:right w:w="80" w:type="dxa"/>
            </w:tcMar>
          </w:tcPr>
          <w:p>
            <w:pPr>
              <w:spacing w:after="20" w:before="20"/>
            </w:pPr>
            <w:r>
              <w:rPr>
                <w:rFonts w:ascii="Aptos" w:hAnsi="Aptos"/>
                <w:sz w:val="19"/>
              </w:rPr>
              <w:t>Playbook</w:t>
            </w:r>
          </w:p>
        </w:tc>
      </w:tr>
      <w:tr>
        <w:tc>
          <w:tcPr>
            <w:tcW w:type="dxa" w:w="3024"/>
            <w:tcMar>
              <w:top w:w="80" w:type="dxa"/>
              <w:left w:w="80" w:type="dxa"/>
              <w:bottom w:w="80" w:type="dxa"/>
              <w:right w:w="80" w:type="dxa"/>
            </w:tcMar>
          </w:tcPr>
          <w:p>
            <w:pPr>
              <w:spacing w:after="20" w:before="20"/>
            </w:pPr>
            <w:r>
              <w:rPr>
                <w:rFonts w:ascii="Aptos" w:hAnsi="Aptos"/>
                <w:b/>
                <w:color w:val="58301D"/>
                <w:sz w:val="19"/>
              </w:rPr>
              <w:t>Suggested slug</w:t>
            </w:r>
          </w:p>
        </w:tc>
        <w:tc>
          <w:tcPr>
            <w:tcW w:type="dxa" w:w="7056"/>
            <w:tcMar>
              <w:top w:w="80" w:type="dxa"/>
              <w:left w:w="80" w:type="dxa"/>
              <w:bottom w:w="80" w:type="dxa"/>
              <w:right w:w="80" w:type="dxa"/>
            </w:tcMar>
          </w:tcPr>
          <w:p>
            <w:pPr>
              <w:spacing w:after="20" w:before="20"/>
            </w:pPr>
            <w:r>
              <w:rPr>
                <w:rFonts w:ascii="Aptos" w:hAnsi="Aptos"/>
                <w:sz w:val="19"/>
              </w:rPr>
              <w:t>/knowledge-hub/playbooks/how-to-turn-a-research-paper-into-a-decision-brief/</w:t>
            </w:r>
          </w:p>
        </w:tc>
      </w:tr>
      <w:tr>
        <w:tc>
          <w:tcPr>
            <w:tcW w:type="dxa" w:w="3024"/>
            <w:tcMar>
              <w:top w:w="80" w:type="dxa"/>
              <w:left w:w="80" w:type="dxa"/>
              <w:bottom w:w="80" w:type="dxa"/>
              <w:right w:w="80" w:type="dxa"/>
            </w:tcMar>
          </w:tcPr>
          <w:p>
            <w:pPr>
              <w:spacing w:after="20" w:before="20"/>
            </w:pPr>
            <w:r>
              <w:rPr>
                <w:rFonts w:ascii="Aptos" w:hAnsi="Aptos"/>
                <w:b/>
                <w:color w:val="58301D"/>
                <w:sz w:val="19"/>
              </w:rPr>
              <w:t>Recommended media</w:t>
            </w:r>
          </w:p>
        </w:tc>
        <w:tc>
          <w:tcPr>
            <w:tcW w:type="dxa" w:w="7056"/>
            <w:tcMar>
              <w:top w:w="80" w:type="dxa"/>
              <w:left w:w="80" w:type="dxa"/>
              <w:bottom w:w="80" w:type="dxa"/>
              <w:right w:w="80" w:type="dxa"/>
            </w:tcMar>
          </w:tcPr>
          <w:p>
            <w:pPr>
              <w:spacing w:after="20" w:before="20"/>
            </w:pPr>
            <w:r>
              <w:rPr>
                <w:rFonts w:ascii="Aptos" w:hAnsi="Aptos"/>
                <w:sz w:val="19"/>
              </w:rPr>
              <w:t>Text + template + process graphic</w:t>
            </w:r>
          </w:p>
        </w:tc>
      </w:tr>
      <w:tr>
        <w:tc>
          <w:tcPr>
            <w:tcW w:type="dxa" w:w="3024"/>
            <w:tcMar>
              <w:top w:w="80" w:type="dxa"/>
              <w:left w:w="80" w:type="dxa"/>
              <w:bottom w:w="80" w:type="dxa"/>
              <w:right w:w="80" w:type="dxa"/>
            </w:tcMar>
          </w:tcPr>
          <w:p>
            <w:pPr>
              <w:spacing w:after="20" w:before="20"/>
            </w:pPr>
            <w:r>
              <w:rPr>
                <w:rFonts w:ascii="Aptos" w:hAnsi="Aptos"/>
                <w:b/>
                <w:color w:val="58301D"/>
                <w:sz w:val="19"/>
              </w:rPr>
              <w:t>Audience</w:t>
            </w:r>
          </w:p>
        </w:tc>
        <w:tc>
          <w:tcPr>
            <w:tcW w:type="dxa" w:w="7056"/>
            <w:tcMar>
              <w:top w:w="80" w:type="dxa"/>
              <w:left w:w="80" w:type="dxa"/>
              <w:bottom w:w="80" w:type="dxa"/>
              <w:right w:w="80" w:type="dxa"/>
            </w:tcMar>
          </w:tcPr>
          <w:p>
            <w:pPr>
              <w:spacing w:after="20" w:before="20"/>
            </w:pPr>
            <w:r>
              <w:rPr>
                <w:rFonts w:ascii="Aptos" w:hAnsi="Aptos"/>
                <w:sz w:val="19"/>
              </w:rPr>
              <w:t>Researchers, programme teams, policy translators, communications leads</w:t>
            </w:r>
          </w:p>
        </w:tc>
      </w:tr>
      <w:tr>
        <w:tc>
          <w:tcPr>
            <w:tcW w:type="dxa" w:w="3024"/>
            <w:tcMar>
              <w:top w:w="80" w:type="dxa"/>
              <w:left w:w="80" w:type="dxa"/>
              <w:bottom w:w="80" w:type="dxa"/>
              <w:right w:w="80" w:type="dxa"/>
            </w:tcMar>
          </w:tcPr>
          <w:p>
            <w:pPr>
              <w:spacing w:after="20" w:before="20"/>
            </w:pPr>
            <w:r>
              <w:rPr>
                <w:rFonts w:ascii="Aptos" w:hAnsi="Aptos"/>
                <w:b/>
                <w:color w:val="58301D"/>
                <w:sz w:val="19"/>
              </w:rPr>
              <w:t>Related pieces</w:t>
            </w:r>
          </w:p>
        </w:tc>
        <w:tc>
          <w:tcPr>
            <w:tcW w:type="dxa" w:w="7056"/>
            <w:tcMar>
              <w:top w:w="80" w:type="dxa"/>
              <w:left w:w="80" w:type="dxa"/>
              <w:bottom w:w="80" w:type="dxa"/>
              <w:right w:w="80" w:type="dxa"/>
            </w:tcMar>
          </w:tcPr>
          <w:p>
            <w:pPr>
              <w:spacing w:after="20" w:before="20"/>
            </w:pPr>
            <w:r>
              <w:rPr>
                <w:rFonts w:ascii="Aptos" w:hAnsi="Aptos"/>
                <w:sz w:val="19"/>
              </w:rPr>
              <w:t>From Research to Pilot to Practice; The Rankine Method</w:t>
            </w:r>
          </w:p>
        </w:tc>
      </w:tr>
    </w:tbl>
    <w:p/>
    <w:p>
      <w:pPr>
        <w:pStyle w:val="Heading1"/>
      </w:pPr>
      <w:r>
        <w:t>What problem this solves</w:t>
      </w:r>
    </w:p>
    <w:p>
      <w:pPr>
        <w:ind w:firstLine="216"/>
      </w:pPr>
      <w:r>
        <w:t>Strong research often fails to influence action because it stays in the form in which it was produced. A paper can be careful, nuanced, and credible, yet still remain unusable for the people who need to make decisions, allocate resources, shape a pilot, or redesign a workflow.</w:t>
      </w:r>
    </w:p>
    <w:p>
      <w:pPr>
        <w:ind w:firstLine="216"/>
      </w:pPr>
      <w:r>
        <w:t>A decision brief solves a translation problem. It takes the most decision-relevant parts of a paper and reorganises them for leaders, programme teams, partners, or practitioners who need clarity more than they need academic form. This does not mean oversimplifying the work. It means translating it responsibly.</w:t>
      </w:r>
    </w:p>
    <w:p>
      <w:pPr>
        <w:ind w:firstLine="216"/>
      </w:pPr>
      <w:r>
        <w:t>For Rankine, this kind of translation is not a side activity. It is part of the lab’s stated movement from research to frameworks, prototypes, and applied partnerships. A good decision brief is one of the simplest ways to move knowledge toward use.</w:t>
      </w:r>
    </w:p>
    <w:p>
      <w:pPr>
        <w:pStyle w:val="Heading1"/>
      </w:pPr>
      <w:r>
        <w:t>What a decision brief is</w:t>
      </w:r>
    </w:p>
    <w:p>
      <w:pPr>
        <w:ind w:firstLine="216"/>
      </w:pPr>
      <w:r>
        <w:t>A decision brief is a short, structured document that helps a reader understand what a piece of evidence means for a practical choice. Its purpose is not to reproduce the full argument of the paper. Its purpose is to clarify the problem, the evidence, the implications, the limits, and the possible next moves.</w:t>
      </w:r>
    </w:p>
    <w:p>
      <w:pPr>
        <w:ind w:firstLine="216"/>
      </w:pPr>
      <w:r>
        <w:t>In most cases, a decision brief should answer five questions quickly. What issue does this research speak to? What does it actually show? Why does it matter in practice? What should we be cautious about? What options or actions does it open?</w:t>
      </w:r>
    </w:p>
    <w:p>
      <w:pPr>
        <w:pStyle w:val="Heading1"/>
      </w:pPr>
      <w:r>
        <w:t>When to use this playbook</w:t>
      </w:r>
    </w:p>
    <w:p>
      <w:pPr>
        <w:ind w:firstLine="216"/>
      </w:pPr>
      <w:r>
        <w:t>This playbook is most useful when the underlying research is strong but the audience is not looking for a full academic reading experience. It works especially well for programme teams, innovation leads, department heads, policy-oriented partners, grant managers, and institutional decision-makers.</w:t>
      </w:r>
    </w:p>
    <w:p>
      <w:pPr>
        <w:ind w:firstLine="216"/>
      </w:pPr>
      <w:r>
        <w:t>It is not the right format when the audience needs a full technical review, a systematic synthesis, or methodological replication. In those cases, the brief can still be helpful as a companion, but it should not replace the longer document.</w:t>
      </w:r>
    </w:p>
    <w:p>
      <w:pPr>
        <w:pStyle w:val="Heading1"/>
      </w:pPr>
      <w:r>
        <w:t>Step 1: Define the decision context</w:t>
      </w:r>
    </w:p>
    <w:p>
      <w:pPr>
        <w:ind w:firstLine="216"/>
      </w:pPr>
      <w:r>
        <w:t>Before opening the paper, define the decision the brief is meant to support. Are you considering a pilot? Evaluating a material? Planning a capability session? Revising a monitoring process? Without a decision context, the brief will drift into generic summary.</w:t>
      </w:r>
    </w:p>
    <w:p>
      <w:pPr>
        <w:ind w:firstLine="216"/>
      </w:pPr>
      <w:r>
        <w:t>This step matters because the same paper can produce different briefs for different audiences. A founder-connected GenAI paper might become one kind of brief for a research office and another for a programme team. The evidence is the same, but the decision logic changes.</w:t>
      </w:r>
    </w:p>
    <w:p>
      <w:pPr>
        <w:pStyle w:val="Heading1"/>
      </w:pPr>
      <w:r>
        <w:t>Step 2: Extract the decision-relevant core</w:t>
      </w:r>
    </w:p>
    <w:p>
      <w:pPr>
        <w:pStyle w:val="Heading2"/>
      </w:pPr>
      <w:r>
        <w:t>Identify the problem statement</w:t>
      </w:r>
    </w:p>
    <w:p>
      <w:pPr>
        <w:ind w:firstLine="216"/>
      </w:pPr>
      <w:r>
        <w:t>What real problem is the paper addressing? Rewrite it in plain language. Avoid lifting the original text without interpretation.</w:t>
      </w:r>
    </w:p>
    <w:p>
      <w:pPr>
        <w:pStyle w:val="Heading2"/>
      </w:pPr>
      <w:r>
        <w:t>Extract the main finding</w:t>
      </w:r>
    </w:p>
    <w:p>
      <w:pPr>
        <w:ind w:firstLine="216"/>
      </w:pPr>
      <w:r>
        <w:t>What is the paper’s most decision-relevant result? This may be a framework, performance pattern, comparison result, deployment lesson, or evidence of constraint.</w:t>
      </w:r>
    </w:p>
    <w:p>
      <w:pPr>
        <w:pStyle w:val="Heading2"/>
      </w:pPr>
      <w:r>
        <w:t>Note the evidence boundary</w:t>
      </w:r>
    </w:p>
    <w:p>
      <w:pPr>
        <w:ind w:firstLine="216"/>
      </w:pPr>
      <w:r>
        <w:t>What kind of evidence is this? Review article, experiment, field study, model deployment, preprint, case study, in-press work? Decision quality depends on understanding what kind of claim is being made.</w:t>
      </w:r>
    </w:p>
    <w:p>
      <w:pPr>
        <w:pStyle w:val="Heading2"/>
      </w:pPr>
      <w:r>
        <w:t>Capture the practical implication</w:t>
      </w:r>
    </w:p>
    <w:p>
      <w:pPr>
        <w:ind w:firstLine="216"/>
      </w:pPr>
      <w:r>
        <w:t>Ask what someone could do differently because of this result. If there is no practical implication, the paper may not be suitable for this kind of brief.</w:t>
      </w:r>
    </w:p>
    <w:p>
      <w:pPr>
        <w:pStyle w:val="Heading1"/>
      </w:pPr>
      <w:r>
        <w:t>Step 3: Rebuild the structure for a non-academic reader</w:t>
      </w:r>
    </w:p>
    <w:p>
      <w:pPr>
        <w:ind w:firstLine="216"/>
      </w:pPr>
      <w:r>
        <w:t>A useful decision brief usually works with a short architecture: context, what the evidence says, what it means, what the limits are, and what options follow. That sequence is often far more useful than preserving the paper’s original order.</w:t>
      </w:r>
    </w:p>
    <w:p>
      <w:pPr>
        <w:ind w:firstLine="216"/>
      </w:pPr>
      <w:r>
        <w:t>Use short sections, strong headings, and direct language. The audience should be able to scan the document and still understand the central decision logic. Dense paragraphing weakens the brief because it recreates the very barrier the brief is trying to remove.</w:t>
      </w:r>
    </w:p>
    <w:p>
      <w:pPr>
        <w:pStyle w:val="Heading1"/>
      </w:pPr>
      <w:r>
        <w:t>Step 4: Translate, do not flatten</w:t>
      </w:r>
    </w:p>
    <w:p>
      <w:pPr>
        <w:ind w:firstLine="216"/>
      </w:pPr>
      <w:r>
        <w:t>Translation is not the same as simplification. The brief should remove avoidable complexity while preserving necessary nuance. A good sign that you are flattening too much is when uncertainty disappears. Strong research rarely produces certainty without condition.</w:t>
      </w:r>
    </w:p>
    <w:p>
      <w:pPr>
        <w:ind w:firstLine="216"/>
      </w:pPr>
      <w:r>
        <w:t>This is especially important in topics like AI, sustainability, or bio-based engineering, where language can become inflated quickly. Preserve caveats, but phrase them in usable terms. Instead of saying the findings are 'limited by context-specificity,' explain what part of the context matters and why that affects decision confidence.</w:t>
      </w:r>
    </w:p>
    <w:p>
      <w:pPr>
        <w:pStyle w:val="Heading1"/>
      </w:pPr>
      <w:r>
        <w:t>Step 5: Add a decision layer</w:t>
      </w:r>
    </w:p>
    <w:p>
      <w:pPr>
        <w:ind w:firstLine="216"/>
      </w:pPr>
      <w:r>
        <w:t>A paper explains what was studied. A decision brief must also explain what the reader can do next. That might mean recommending a pilot, further validation, a no-go decision, a monitoring requirement, or a narrower follow-up question.</w:t>
      </w:r>
    </w:p>
    <w:p>
      <w:pPr>
        <w:ind w:firstLine="216"/>
      </w:pPr>
      <w:r>
        <w:t>This does not mean the brief should become prescriptive without basis. It means the writer should organise the research into options. The best ending is not 'more research is needed' unless that phrase is unpacked into a real decision consequence.</w:t>
      </w:r>
    </w:p>
    <w:p>
      <w:pPr>
        <w:pStyle w:val="Heading1"/>
      </w:pPr>
      <w:r>
        <w:t>Step 6: Review for rigor and usability</w:t>
      </w:r>
    </w:p>
    <w:p>
      <w:pPr>
        <w:ind w:firstLine="216"/>
      </w:pPr>
      <w:r>
        <w:t>Before finalising the brief, check it against two standards. First, would the original researchers still recognise their work in the translation? Second, would a non-specialist decision-maker understand what is at stake without reading the full paper?</w:t>
      </w:r>
    </w:p>
    <w:p>
      <w:pPr>
        <w:ind w:firstLine="216"/>
      </w:pPr>
      <w:r>
        <w:t>The brief passes only when both answers are yes. If the first answer is no, the translation has become misleading. If the second answer is no, the brief is still too academic.</w:t>
      </w:r>
    </w:p>
    <w:p>
      <w:pPr>
        <w:pStyle w:val="Heading1"/>
      </w:pPr>
      <w:r>
        <w:t>A sample decision-brief structure</w:t>
      </w:r>
    </w:p>
    <w:p>
      <w:pPr>
        <w:pStyle w:val="Heading2"/>
      </w:pPr>
      <w:r>
        <w:t>1. Decision context</w:t>
      </w:r>
    </w:p>
    <w:p>
      <w:pPr>
        <w:ind w:firstLine="216"/>
      </w:pPr>
      <w:r>
        <w:t>One paragraph explaining the practical question.</w:t>
      </w:r>
    </w:p>
    <w:p>
      <w:pPr>
        <w:pStyle w:val="Heading2"/>
      </w:pPr>
      <w:r>
        <w:t>2. What the research examined</w:t>
      </w:r>
    </w:p>
    <w:p>
      <w:pPr>
        <w:ind w:firstLine="216"/>
      </w:pPr>
      <w:r>
        <w:t>One short section describing the study or evidence base.</w:t>
      </w:r>
    </w:p>
    <w:p>
      <w:pPr>
        <w:pStyle w:val="Heading2"/>
      </w:pPr>
      <w:r>
        <w:t>3. What it found</w:t>
      </w:r>
    </w:p>
    <w:p>
      <w:pPr>
        <w:ind w:firstLine="216"/>
      </w:pPr>
      <w:r>
        <w:t>The most decision-relevant result, in plain language.</w:t>
      </w:r>
    </w:p>
    <w:p>
      <w:pPr>
        <w:pStyle w:val="Heading2"/>
      </w:pPr>
      <w:r>
        <w:t>4. What this means</w:t>
      </w:r>
    </w:p>
    <w:p>
      <w:pPr>
        <w:ind w:firstLine="216"/>
      </w:pPr>
      <w:r>
        <w:t>Practical implications for the target audience.</w:t>
      </w:r>
    </w:p>
    <w:p>
      <w:pPr>
        <w:pStyle w:val="Heading2"/>
      </w:pPr>
      <w:r>
        <w:t>5. Limits and cautions</w:t>
      </w:r>
    </w:p>
    <w:p>
      <w:pPr>
        <w:ind w:firstLine="216"/>
      </w:pPr>
      <w:r>
        <w:t>What the evidence does not justify yet.</w:t>
      </w:r>
    </w:p>
    <w:p>
      <w:pPr>
        <w:pStyle w:val="Heading2"/>
      </w:pPr>
      <w:r>
        <w:t>6. Options or next steps</w:t>
      </w:r>
    </w:p>
    <w:p>
      <w:pPr>
        <w:ind w:firstLine="216"/>
      </w:pPr>
      <w:r>
        <w:t>Possible actions, framed clearly and proportionately.</w:t>
      </w:r>
    </w:p>
    <w:p>
      <w:pPr>
        <w:pStyle w:val="Heading1"/>
      </w:pPr>
      <w:r>
        <w:t>Common mistakes</w:t>
      </w:r>
    </w:p>
    <w:p>
      <w:pPr>
        <w:ind w:firstLine="216"/>
      </w:pPr>
      <w:r>
        <w:t>One common mistake is to confuse a decision brief with a summary note. A summary reproduces content. A brief supports a decision. Another is to strip away all uncertainty in the hope of sounding decisive. That weakens trust.</w:t>
      </w:r>
    </w:p>
    <w:p>
      <w:pPr>
        <w:ind w:firstLine="216"/>
      </w:pPr>
      <w:r>
        <w:t>A third mistake is to make the brief too long. If it begins to recreate the density of the original paper, it loses its value. The brief should be lean enough to support action but strong enough to protect rigor.</w:t>
      </w:r>
    </w:p>
    <w:p>
      <w:pPr>
        <w:pStyle w:val="Heading1"/>
      </w:pPr>
      <w:r>
        <w:t>Practical takeaway</w:t>
      </w:r>
    </w:p>
    <w:p>
      <w:pPr>
        <w:ind w:firstLine="216"/>
      </w:pPr>
      <w:r>
        <w:t>If you remember one rule, let it be this: write for the decision, not for the paper. The paper is the source. The decision is the destination. That difference should shape every paragraph.</w:t>
      </w:r>
    </w:p>
    <w:p>
      <w:pPr>
        <w:pStyle w:val="Heading1"/>
      </w:pPr>
      <w:r>
        <w:t>References and source base</w:t>
      </w:r>
    </w:p>
    <w:p>
      <w:pPr>
        <w:ind w:firstLine="216"/>
      </w:pPr>
      <w:r>
        <w:t>• Knowledge Hub Content Deep-Dive for Rankine Innovation Lab: Playbook treatment for turning papers into decision briefs and the broader research-to-action logic.</w:t>
      </w:r>
    </w:p>
    <w:p>
      <w:pPr>
        <w:ind w:firstLine="216"/>
      </w:pPr>
      <w:r>
        <w:t>• Rankine’s published research-to-action pathway, which positions frameworks and prototypes as translation layers rather than academic endpoints.</w:t>
      </w:r>
    </w:p>
    <w:p>
      <w:pPr>
        <w:ind w:firstLine="216"/>
      </w:pPr>
      <w:r>
        <w:t>• Founder-connected evidence inventory in the deep-dive, which provides strong candidate papers for future decision-brief exemplars.</w:t>
      </w:r>
    </w:p>
    <w:sectPr w:rsidR="00FC693F" w:rsidRPr="0006063C" w:rsidSect="00034616">
      <w:head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5A46"/>
        <w:sz w:val="18"/>
      </w:rPr>
      <w:t>Rankine Knowledge Hub | Decision Briefs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58301D"/>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5830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9281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24F4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