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What Repeated Reading of GenAI Papers Is Revealing</w:t>
      </w:r>
    </w:p>
    <w:p>
      <w:pPr>
        <w:pStyle w:val="Subtitle"/>
        <w:jc w:val="left"/>
      </w:pPr>
      <w:r>
        <w:t>Expanded draft | Lab Note | Domain: AI for STEM Innovation</w:t>
      </w:r>
    </w:p>
    <w:p/>
    <w:tbl>
      <w:tblPr>
        <w:tblStyle w:val="TableGrid"/>
        <w:tblW w:type="auto" w:w="0"/>
        <w:tblLayout w:type="fixed"/>
        <w:tblLook w:firstColumn="1" w:firstRow="1" w:lastColumn="0" w:lastRow="0" w:noHBand="0" w:noVBand="1" w:val="04A0"/>
      </w:tblPr>
      <w:tblGrid>
        <w:gridCol w:w="3024"/>
        <w:gridCol w:w="7056"/>
      </w:tblGrid>
      <w:tr>
        <w:tc>
          <w:tcPr>
            <w:tcW w:type="dxa" w:w="4824"/>
            <w:tcMar>
              <w:top w:w="80" w:type="dxa"/>
              <w:left w:w="80" w:type="dxa"/>
              <w:bottom w:w="80" w:type="dxa"/>
              <w:right w:w="80" w:type="dxa"/>
            </w:tcMar>
          </w:tcPr>
          <w:p>
            <w:pPr>
              <w:spacing w:after="20" w:before="20"/>
            </w:pPr>
            <w:r>
              <w:rPr>
                <w:rFonts w:ascii="Aptos" w:hAnsi="Aptos"/>
                <w:b/>
                <w:color w:val="58301D"/>
                <w:sz w:val="19"/>
              </w:rPr>
              <w:t>Primary type</w:t>
            </w:r>
          </w:p>
        </w:tc>
        <w:tc>
          <w:tcPr>
            <w:tcW w:type="dxa" w:w="4824"/>
            <w:tcMar>
              <w:top w:w="80" w:type="dxa"/>
              <w:left w:w="80" w:type="dxa"/>
              <w:bottom w:w="80" w:type="dxa"/>
              <w:right w:w="80" w:type="dxa"/>
            </w:tcMar>
          </w:tcPr>
          <w:p>
            <w:pPr>
              <w:spacing w:after="20" w:before="20"/>
            </w:pPr>
            <w:r>
              <w:rPr>
                <w:rFonts w:ascii="Aptos" w:hAnsi="Aptos"/>
                <w:sz w:val="19"/>
              </w:rPr>
              <w:t>Lab Note</w:t>
            </w:r>
          </w:p>
        </w:tc>
      </w:tr>
      <w:tr>
        <w:tc>
          <w:tcPr>
            <w:tcW w:type="dxa" w:w="3024"/>
            <w:tcMar>
              <w:top w:w="80" w:type="dxa"/>
              <w:left w:w="80" w:type="dxa"/>
              <w:bottom w:w="80" w:type="dxa"/>
              <w:right w:w="80" w:type="dxa"/>
            </w:tcMar>
          </w:tcPr>
          <w:p>
            <w:pPr>
              <w:spacing w:after="20" w:before="20"/>
            </w:pPr>
            <w:r>
              <w:rPr>
                <w:rFonts w:ascii="Aptos" w:hAnsi="Aptos"/>
                <w:b/>
                <w:color w:val="58301D"/>
                <w:sz w:val="19"/>
              </w:rPr>
              <w:t>Suggested slug</w:t>
            </w:r>
          </w:p>
        </w:tc>
        <w:tc>
          <w:tcPr>
            <w:tcW w:type="dxa" w:w="7056"/>
            <w:tcMar>
              <w:top w:w="80" w:type="dxa"/>
              <w:left w:w="80" w:type="dxa"/>
              <w:bottom w:w="80" w:type="dxa"/>
              <w:right w:w="80" w:type="dxa"/>
            </w:tcMar>
          </w:tcPr>
          <w:p>
            <w:pPr>
              <w:spacing w:after="20" w:before="20"/>
            </w:pPr>
            <w:r>
              <w:rPr>
                <w:rFonts w:ascii="Aptos" w:hAnsi="Aptos"/>
                <w:sz w:val="19"/>
              </w:rPr>
              <w:t>/knowledge-hub/lab-notes/what-repeated-reading-of-genai-papers-is-revealing/</w:t>
            </w:r>
          </w:p>
        </w:tc>
      </w:tr>
      <w:tr>
        <w:tc>
          <w:tcPr>
            <w:tcW w:type="dxa" w:w="3024"/>
            <w:tcMar>
              <w:top w:w="80" w:type="dxa"/>
              <w:left w:w="80" w:type="dxa"/>
              <w:bottom w:w="80" w:type="dxa"/>
              <w:right w:w="80" w:type="dxa"/>
            </w:tcMar>
          </w:tcPr>
          <w:p>
            <w:pPr>
              <w:spacing w:after="20" w:before="20"/>
            </w:pPr>
            <w:r>
              <w:rPr>
                <w:rFonts w:ascii="Aptos" w:hAnsi="Aptos"/>
                <w:b/>
                <w:color w:val="58301D"/>
                <w:sz w:val="19"/>
              </w:rPr>
              <w:t>Recommended media</w:t>
            </w:r>
          </w:p>
        </w:tc>
        <w:tc>
          <w:tcPr>
            <w:tcW w:type="dxa" w:w="7056"/>
            <w:tcMar>
              <w:top w:w="80" w:type="dxa"/>
              <w:left w:w="80" w:type="dxa"/>
              <w:bottom w:w="80" w:type="dxa"/>
              <w:right w:w="80" w:type="dxa"/>
            </w:tcMar>
          </w:tcPr>
          <w:p>
            <w:pPr>
              <w:spacing w:after="20" w:before="20"/>
            </w:pPr>
            <w:r>
              <w:rPr>
                <w:rFonts w:ascii="Aptos" w:hAnsi="Aptos"/>
                <w:sz w:val="19"/>
              </w:rPr>
              <w:t>Short text + carousel or visual card</w:t>
            </w:r>
          </w:p>
        </w:tc>
      </w:tr>
      <w:tr>
        <w:tc>
          <w:tcPr>
            <w:tcW w:type="dxa" w:w="3024"/>
            <w:tcMar>
              <w:top w:w="80" w:type="dxa"/>
              <w:left w:w="80" w:type="dxa"/>
              <w:bottom w:w="80" w:type="dxa"/>
              <w:right w:w="80" w:type="dxa"/>
            </w:tcMar>
          </w:tcPr>
          <w:p>
            <w:pPr>
              <w:spacing w:after="20" w:before="20"/>
            </w:pPr>
            <w:r>
              <w:rPr>
                <w:rFonts w:ascii="Aptos" w:hAnsi="Aptos"/>
                <w:b/>
                <w:color w:val="58301D"/>
                <w:sz w:val="19"/>
              </w:rPr>
              <w:t>Audience</w:t>
            </w:r>
          </w:p>
        </w:tc>
        <w:tc>
          <w:tcPr>
            <w:tcW w:type="dxa" w:w="7056"/>
            <w:tcMar>
              <w:top w:w="80" w:type="dxa"/>
              <w:left w:w="80" w:type="dxa"/>
              <w:bottom w:w="80" w:type="dxa"/>
              <w:right w:w="80" w:type="dxa"/>
            </w:tcMar>
          </w:tcPr>
          <w:p>
            <w:pPr>
              <w:spacing w:after="20" w:before="20"/>
            </w:pPr>
            <w:r>
              <w:rPr>
                <w:rFonts w:ascii="Aptos" w:hAnsi="Aptos"/>
                <w:sz w:val="19"/>
              </w:rPr>
              <w:t>Researchers, educators, AI-curious professionals, innovation teams</w:t>
            </w:r>
          </w:p>
        </w:tc>
      </w:tr>
      <w:tr>
        <w:tc>
          <w:tcPr>
            <w:tcW w:type="dxa" w:w="3024"/>
            <w:tcMar>
              <w:top w:w="80" w:type="dxa"/>
              <w:left w:w="80" w:type="dxa"/>
              <w:bottom w:w="80" w:type="dxa"/>
              <w:right w:w="80" w:type="dxa"/>
            </w:tcMar>
          </w:tcPr>
          <w:p>
            <w:pPr>
              <w:spacing w:after="20" w:before="20"/>
            </w:pPr>
            <w:r>
              <w:rPr>
                <w:rFonts w:ascii="Aptos" w:hAnsi="Aptos"/>
                <w:b/>
                <w:color w:val="58301D"/>
                <w:sz w:val="19"/>
              </w:rPr>
              <w:t>Related pieces</w:t>
            </w:r>
          </w:p>
        </w:tc>
        <w:tc>
          <w:tcPr>
            <w:tcW w:type="dxa" w:w="7056"/>
            <w:tcMar>
              <w:top w:w="80" w:type="dxa"/>
              <w:left w:w="80" w:type="dxa"/>
              <w:bottom w:w="80" w:type="dxa"/>
              <w:right w:w="80" w:type="dxa"/>
            </w:tcMar>
          </w:tcPr>
          <w:p>
            <w:pPr>
              <w:spacing w:after="20" w:before="20"/>
            </w:pPr>
            <w:r>
              <w:rPr>
                <w:rFonts w:ascii="Aptos" w:hAnsi="Aptos"/>
                <w:sz w:val="19"/>
              </w:rPr>
              <w:t>RAG for STEM Decision Support; AI Adoption Readiness for Research Teams</w:t>
            </w:r>
          </w:p>
        </w:tc>
      </w:tr>
    </w:tbl>
    <w:p/>
    <w:p>
      <w:pPr>
        <w:pStyle w:val="Heading1"/>
      </w:pPr>
      <w:r>
        <w:t>Why this note exists</w:t>
      </w:r>
    </w:p>
    <w:p>
      <w:pPr>
        <w:ind w:firstLine="216"/>
      </w:pPr>
      <w:r>
        <w:t>Reading one generative AI paper can give you a result. Reading a cluster of them closely starts to reveal a pattern. That pattern is often more valuable than the headline claim of any single paper because it shows where the field is stabilising, where it is still performing confidence theatre, and where the real implementation questions continue to sit.</w:t>
      </w:r>
    </w:p>
    <w:p>
      <w:pPr>
        <w:ind w:firstLine="216"/>
      </w:pPr>
      <w:r>
        <w:t>This note exists to capture those patterns. It draws from the deep-dive’s founder-connected GenAI inventory, especially the construction and water-domain pieces, and translates them into a set of observations that are useful for Rankine’s audience. The goal is not to provide a literature review. It is to state what repeated reading is making harder to ignore.</w:t>
      </w:r>
    </w:p>
    <w:p>
      <w:pPr>
        <w:pStyle w:val="Heading1"/>
      </w:pPr>
      <w:r>
        <w:t>Pattern one: usefulness is becoming more domain-specific</w:t>
      </w:r>
    </w:p>
    <w:p>
      <w:pPr>
        <w:ind w:firstLine="216"/>
      </w:pPr>
      <w:r>
        <w:t>One of the clearest patterns is that generic claims about what GenAI can do are becoming less useful. The more valuable papers are the ones that move into domain-specific workflows such as contract document querying, engineering-stage applications, or water-network operations.</w:t>
      </w:r>
    </w:p>
    <w:p>
      <w:pPr>
        <w:ind w:firstLine="216"/>
      </w:pPr>
      <w:r>
        <w:t>This matters because it shifts the conversation away from abstract capability and toward bounded usefulness. The strongest work is no longer asking whether GenAI is impressive. It is asking whether it performs well enough, safely enough, and consistently enough inside a specific task environment.</w:t>
      </w:r>
    </w:p>
    <w:p>
      <w:pPr>
        <w:pStyle w:val="Heading1"/>
      </w:pPr>
      <w:r>
        <w:t>Pattern two: grounding keeps showing up as the difference-maker</w:t>
      </w:r>
    </w:p>
    <w:p>
      <w:pPr>
        <w:ind w:firstLine="216"/>
      </w:pPr>
      <w:r>
        <w:t>Across the inventoried work, retrieval, trusted source material, and explainable workflow design keep appearing as decisive factors. This is not surprising, but it is still worth stating clearly. Generic generation may be rhetorically smooth, but grounded generation is what begins to make institutional use defensible.</w:t>
      </w:r>
    </w:p>
    <w:p>
      <w:pPr>
        <w:ind w:firstLine="216"/>
      </w:pPr>
      <w:r>
        <w:t>In practical terms, this means that serious adoption conversations are increasingly about source control, retrieval quality, document boundaries, and evaluation rather than just about prompts. That is a healthy shift.</w:t>
      </w:r>
    </w:p>
    <w:p>
      <w:pPr>
        <w:pStyle w:val="Heading1"/>
      </w:pPr>
      <w:r>
        <w:t>Pattern three: implementation is harder than ideation</w:t>
      </w:r>
    </w:p>
    <w:p>
      <w:pPr>
        <w:ind w:firstLine="216"/>
      </w:pPr>
      <w:r>
        <w:t>Many papers can generate long lists of possible use cases. Fewer can show what implementation requires. The gap between ideation and deployment remains one of the most visible weaknesses in the literature.</w:t>
      </w:r>
    </w:p>
    <w:p>
      <w:pPr>
        <w:ind w:firstLine="216"/>
      </w:pPr>
      <w:r>
        <w:t>This is one reason the stronger founder-connected pieces matter. They do not stop at use-case enumeration. They move toward implementation frameworks, challenge categories, quality dimensions, and workflow design. That makes them more useful for real institutions.</w:t>
      </w:r>
    </w:p>
    <w:p>
      <w:pPr>
        <w:pStyle w:val="Heading1"/>
      </w:pPr>
      <w:r>
        <w:t>Pattern four: quality language is improving, but still uneven</w:t>
      </w:r>
    </w:p>
    <w:p>
      <w:pPr>
        <w:ind w:firstLine="216"/>
      </w:pPr>
      <w:r>
        <w:t>There is growing attention to quality, relevance, reproducibility, and user-oriented evaluation. That is a good sign. But the field is still uneven in how confidently it speaks about reliability. Some work still leans too heavily on performance narratives without enough operational caution.</w:t>
      </w:r>
    </w:p>
    <w:p>
      <w:pPr>
        <w:ind w:firstLine="216"/>
      </w:pPr>
      <w:r>
        <w:t>For labs and programme teams, this means papers should be read with two questions in mind: what counts as success in the paper, and would that success definition satisfy a real deployment context?</w:t>
      </w:r>
    </w:p>
    <w:p>
      <w:pPr>
        <w:pStyle w:val="Heading1"/>
      </w:pPr>
      <w:r>
        <w:t>Pattern five: human expertise is not disappearing</w:t>
      </w:r>
    </w:p>
    <w:p>
      <w:pPr>
        <w:ind w:firstLine="216"/>
      </w:pPr>
      <w:r>
        <w:t>Repeated reading does not support the idea that human expertise is becoming optional. If anything, it reinforces the opposite. Domain expertise matters more when teams are trying to judge whether the output is grounded, contextually appropriate, or decision-safe.</w:t>
      </w:r>
    </w:p>
    <w:p>
      <w:pPr>
        <w:ind w:firstLine="216"/>
      </w:pPr>
      <w:r>
        <w:t>This is especially true in areas where consequences matter. The papers are valuable not because they remove the need for expert review, but because they show where assistance can be integrated into an expert-led workflow.</w:t>
      </w:r>
    </w:p>
    <w:p>
      <w:pPr>
        <w:pStyle w:val="Heading1"/>
      </w:pPr>
      <w:r>
        <w:t>What the field still underestimates</w:t>
      </w:r>
    </w:p>
    <w:p>
      <w:pPr>
        <w:pStyle w:val="Heading2"/>
      </w:pPr>
      <w:r>
        <w:t>Governance fatigue</w:t>
      </w:r>
    </w:p>
    <w:p>
      <w:pPr>
        <w:ind w:firstLine="216"/>
      </w:pPr>
      <w:r>
        <w:t>There is still too little attention to the operational burden of keeping systems current, governed, and reviewable over time. Many papers discuss risk, but fewer show what sustained governance looks like.</w:t>
      </w:r>
    </w:p>
    <w:p>
      <w:pPr>
        <w:pStyle w:val="Heading2"/>
      </w:pPr>
      <w:r>
        <w:t>Data messiness</w:t>
      </w:r>
    </w:p>
    <w:p>
      <w:pPr>
        <w:ind w:firstLine="216"/>
      </w:pPr>
      <w:r>
        <w:t>The literature often assumes a cleaner document and data environment than many institutions actually have. In practice, adoption often stalls because source material is fragmented, outdated, or politically sensitive.</w:t>
      </w:r>
    </w:p>
    <w:p>
      <w:pPr>
        <w:pStyle w:val="Heading2"/>
      </w:pPr>
      <w:r>
        <w:t>Change management</w:t>
      </w:r>
    </w:p>
    <w:p>
      <w:pPr>
        <w:ind w:firstLine="216"/>
      </w:pPr>
      <w:r>
        <w:t>Even when a system works technically, people still need to trust it, understand it, and know when not to use it. This human adoption layer is still under-discussed relative to the fascination with model capability.</w:t>
      </w:r>
    </w:p>
    <w:p>
      <w:pPr>
        <w:pStyle w:val="Heading1"/>
      </w:pPr>
      <w:r>
        <w:t>A minimal example</w:t>
      </w:r>
    </w:p>
    <w:p>
      <w:pPr>
        <w:ind w:firstLine="216"/>
      </w:pPr>
      <w:r>
        <w:t>Imagine two institutions reading the same GenAI paper. One sees a list of exciting applications and starts experimenting immediately. The other notices the sections on constraints, evaluation, and implementation boundaries, and begins by curating its document base and defining a narrow workflow. The second institution is far more likely to build something durable.</w:t>
      </w:r>
    </w:p>
    <w:p>
      <w:pPr>
        <w:ind w:firstLine="216"/>
      </w:pPr>
      <w:r>
        <w:t>That contrast captures what repeated reading is revealing. The strongest signal in the current literature is not unlimited possibility. It is the growing importance of disciplined narrowing.</w:t>
      </w:r>
    </w:p>
    <w:p>
      <w:pPr>
        <w:pStyle w:val="Heading1"/>
      </w:pPr>
      <w:r>
        <w:t>Common mistakes</w:t>
      </w:r>
    </w:p>
    <w:p>
      <w:pPr>
        <w:ind w:firstLine="216"/>
      </w:pPr>
      <w:r>
        <w:t>A common mistake is to read GenAI papers for confidence rather than for discipline. Another is to extract only the use cases and ignore the challenge categories. A third is to assume that a paper showing promise in one domain automatically justifies replication in another.</w:t>
      </w:r>
    </w:p>
    <w:p>
      <w:pPr>
        <w:ind w:firstLine="216"/>
      </w:pPr>
      <w:r>
        <w:t>The deeper mistake, however, is to read these papers as if they were only about models. They are increasingly about systems: documents, users, workflows, governance, and quality assurance.</w:t>
      </w:r>
    </w:p>
    <w:p>
      <w:pPr>
        <w:pStyle w:val="Heading1"/>
      </w:pPr>
      <w:r>
        <w:t>Reporting language you can reuse</w:t>
      </w:r>
    </w:p>
    <w:p>
      <w:pPr>
        <w:ind w:firstLine="216"/>
      </w:pPr>
      <w:r>
        <w:t>When discussing GenAI research in internal settings, it is often useful to say: 'The evidence suggests promising domain-specific use cases, especially where workflows can be grounded in trusted information sources. However, deployment quality still depends heavily on retrieval design, review workflows, and governance capacity.'</w:t>
      </w:r>
    </w:p>
    <w:p>
      <w:pPr>
        <w:ind w:firstLine="216"/>
      </w:pPr>
      <w:r>
        <w:t>That kind of language is careful without being paralysed. It helps teams remain ambitious without becoming careless.</w:t>
      </w:r>
    </w:p>
    <w:p>
      <w:pPr>
        <w:pStyle w:val="Heading1"/>
      </w:pPr>
      <w:r>
        <w:t>One open question</w:t>
      </w:r>
    </w:p>
    <w:p>
      <w:pPr>
        <w:ind w:firstLine="216"/>
      </w:pPr>
      <w:r>
        <w:t>The question that keeps returning is this: which institutions will treat GenAI as a workflow design challenge rather than a tool adoption race? The answer to that may matter more than any single benchmark result.</w:t>
      </w:r>
    </w:p>
    <w:p>
      <w:pPr>
        <w:pStyle w:val="Heading1"/>
      </w:pPr>
      <w:r>
        <w:t>References and source base</w:t>
      </w:r>
    </w:p>
    <w:p>
      <w:pPr>
        <w:ind w:firstLine="216"/>
      </w:pPr>
      <w:r>
        <w:t>• Knowledge Hub Content Deep-Dive for Rankine Innovation Lab: founder-connected GenAI inventory and proposed lab note on repeated reading of the literature.</w:t>
      </w:r>
    </w:p>
    <w:p>
      <w:pPr>
        <w:ind w:firstLine="216"/>
      </w:pPr>
      <w:r>
        <w:t>• Founder-linked GenAI papers in construction and water systems identified in the deep-dive.</w:t>
      </w:r>
    </w:p>
    <w:p>
      <w:pPr>
        <w:ind w:firstLine="216"/>
      </w:pPr>
      <w:r>
        <w:t>• The broader Rankine positioning that emphasises research translation, practical systems, and implementation-aware innovation.</w:t>
      </w:r>
    </w:p>
    <w:sectPr w:rsidR="00FC693F" w:rsidRPr="0006063C" w:rsidSect="00034616">
      <w:head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5A46"/>
        <w:sz w:val="18"/>
      </w:rPr>
      <w:t>Rankine Knowledge Hub | GenAI Patterns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58301D"/>
      <w:sz w:val="27"/>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58301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9281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24F4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