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HTitle"/>
        <w:spacing w:after="120"/>
        <w:pBdr>
          <w:bottom w:val="single" w:sz="10" w:space="1" w:color="4E79C1"/>
        </w:pBdr>
      </w:pPr>
      <w:r>
        <w:rPr>
          <w:rFonts w:ascii="Georgia" w:hAnsi="Georgia"/>
          <w:b/>
          <w:color w:val="5C351F"/>
          <w:sz w:val="52"/>
        </w:rPr>
        <w:t>Why Water Intelligence Is Becoming a Strategic Capability</w:t>
      </w:r>
    </w:p>
    <w:p>
      <w:pPr>
        <w:pStyle w:val="KHSubtitle"/>
        <w:spacing w:after="360"/>
      </w:pPr>
      <w:r>
        <w:rPr>
          <w:rFonts w:ascii="Georgia" w:hAnsi="Georgia"/>
          <w:i/>
          <w:color w:val="6E6054"/>
          <w:sz w:val="29"/>
        </w:rPr>
        <w:t>Expanded draft | Explainer | Domain: Smart Agriculture &amp; Food Security</w:t>
      </w:r>
    </w:p>
    <w:tbl>
      <w:tblPr>
        <w:tblW w:type="auto" w:w="0"/>
        <w:jc w:val="center"/>
        <w:tblLook w:firstColumn="1" w:firstRow="1" w:lastColumn="0" w:lastRow="0" w:noHBand="0" w:noVBand="1" w:val="04A0"/>
      </w:tblPr>
      <w:tblGrid>
        <w:gridCol w:w="4896"/>
        <w:gridCol w:w="4896"/>
      </w:tblGrid>
      <w:tr>
        <w:tc>
          <w:tcPr>
            <w:tcW w:type="dxa" w:w="3168"/>
            <w:vAlign w:val="center"/>
            <w:tcMar>
              <w:top w:w="90" w:type="dxa"/>
              <w:start w:w="110" w:type="dxa"/>
              <w:bottom w:w="90" w:type="dxa"/>
              <w:end w:w="110" w:type="dxa"/>
            </w:tcMar>
            <w:shd w:fill="F5F3EF"/>
          </w:tcPr>
          <w:p>
            <w:pPr>
              <w:spacing w:after="0"/>
            </w:pPr>
            <w:r>
              <w:rPr>
                <w:rFonts w:ascii="Georgia" w:hAnsi="Georgia"/>
                <w:b/>
                <w:color w:val="5C351F"/>
                <w:sz w:val="24"/>
              </w:rPr>
              <w:t>Primary type</w:t>
            </w:r>
          </w:p>
        </w:tc>
        <w:tc>
          <w:tcPr>
            <w:tcW w:type="dxa" w:w="7488"/>
            <w:vAlign w:val="center"/>
            <w:tcMar>
              <w:top w:w="90" w:type="dxa"/>
              <w:start w:w="110" w:type="dxa"/>
              <w:bottom w:w="90" w:type="dxa"/>
              <w:end w:w="110" w:type="dxa"/>
            </w:tcMar>
          </w:tcPr>
          <w:p>
            <w:pPr>
              <w:spacing w:after="0"/>
            </w:pPr>
            <w:r>
              <w:rPr>
                <w:rFonts w:ascii="Georgia" w:hAnsi="Georgia"/>
                <w:sz w:val="24"/>
              </w:rPr>
              <w:t>Explainer</w:t>
            </w:r>
          </w:p>
        </w:tc>
      </w:tr>
      <w:tr>
        <w:tc>
          <w:tcPr>
            <w:tcW w:type="dxa" w:w="3168"/>
            <w:vAlign w:val="center"/>
            <w:tcMar>
              <w:top w:w="90" w:type="dxa"/>
              <w:start w:w="110" w:type="dxa"/>
              <w:bottom w:w="90" w:type="dxa"/>
              <w:end w:w="110" w:type="dxa"/>
            </w:tcMar>
            <w:shd w:fill="F5F3EF"/>
          </w:tcPr>
          <w:p>
            <w:pPr>
              <w:spacing w:after="0"/>
            </w:pPr>
            <w:r>
              <w:rPr>
                <w:rFonts w:ascii="Georgia" w:hAnsi="Georgia"/>
                <w:b/>
                <w:color w:val="5C351F"/>
                <w:sz w:val="24"/>
              </w:rPr>
              <w:t>Suggested slug</w:t>
            </w:r>
          </w:p>
        </w:tc>
        <w:tc>
          <w:tcPr>
            <w:tcW w:type="dxa" w:w="7488"/>
            <w:vAlign w:val="center"/>
            <w:tcMar>
              <w:top w:w="90" w:type="dxa"/>
              <w:start w:w="110" w:type="dxa"/>
              <w:bottom w:w="90" w:type="dxa"/>
              <w:end w:w="110" w:type="dxa"/>
            </w:tcMar>
          </w:tcPr>
          <w:p>
            <w:pPr>
              <w:spacing w:after="0"/>
            </w:pPr>
            <w:r>
              <w:rPr>
                <w:rFonts w:ascii="Georgia" w:hAnsi="Georgia"/>
                <w:sz w:val="24"/>
              </w:rPr>
              <w:t>/knowledge-hub/explainers/water-intelligence-strategic-capability/</w:t>
            </w:r>
          </w:p>
        </w:tc>
      </w:tr>
      <w:tr>
        <w:tc>
          <w:tcPr>
            <w:tcW w:type="dxa" w:w="3168"/>
            <w:vAlign w:val="center"/>
            <w:tcMar>
              <w:top w:w="90" w:type="dxa"/>
              <w:start w:w="110" w:type="dxa"/>
              <w:bottom w:w="90" w:type="dxa"/>
              <w:end w:w="110" w:type="dxa"/>
            </w:tcMar>
            <w:shd w:fill="F5F3EF"/>
          </w:tcPr>
          <w:p>
            <w:pPr>
              <w:spacing w:after="0"/>
            </w:pPr>
            <w:r>
              <w:rPr>
                <w:rFonts w:ascii="Georgia" w:hAnsi="Georgia"/>
                <w:b/>
                <w:color w:val="5C351F"/>
                <w:sz w:val="24"/>
              </w:rPr>
              <w:t>Recommended media</w:t>
            </w:r>
          </w:p>
        </w:tc>
        <w:tc>
          <w:tcPr>
            <w:tcW w:type="dxa" w:w="7488"/>
            <w:vAlign w:val="center"/>
            <w:tcMar>
              <w:top w:w="90" w:type="dxa"/>
              <w:start w:w="110" w:type="dxa"/>
              <w:bottom w:w="90" w:type="dxa"/>
              <w:end w:w="110" w:type="dxa"/>
            </w:tcMar>
          </w:tcPr>
          <w:p>
            <w:pPr>
              <w:spacing w:after="0"/>
            </w:pPr>
            <w:r>
              <w:rPr>
                <w:rFonts w:ascii="Georgia" w:hAnsi="Georgia"/>
                <w:sz w:val="24"/>
              </w:rPr>
              <w:t>Text + systems infographic + optional glossary/download</w:t>
            </w:r>
          </w:p>
        </w:tc>
      </w:tr>
      <w:tr>
        <w:tc>
          <w:tcPr>
            <w:tcW w:type="dxa" w:w="3168"/>
            <w:vAlign w:val="center"/>
            <w:tcMar>
              <w:top w:w="90" w:type="dxa"/>
              <w:start w:w="110" w:type="dxa"/>
              <w:bottom w:w="90" w:type="dxa"/>
              <w:end w:w="110" w:type="dxa"/>
            </w:tcMar>
            <w:shd w:fill="F5F3EF"/>
          </w:tcPr>
          <w:p>
            <w:pPr>
              <w:spacing w:after="0"/>
            </w:pPr>
            <w:r>
              <w:rPr>
                <w:rFonts w:ascii="Georgia" w:hAnsi="Georgia"/>
                <w:b/>
                <w:color w:val="5C351F"/>
                <w:sz w:val="24"/>
              </w:rPr>
              <w:t>Audience</w:t>
            </w:r>
          </w:p>
        </w:tc>
        <w:tc>
          <w:tcPr>
            <w:tcW w:type="dxa" w:w="7488"/>
            <w:vAlign w:val="center"/>
            <w:tcMar>
              <w:top w:w="90" w:type="dxa"/>
              <w:start w:w="110" w:type="dxa"/>
              <w:bottom w:w="90" w:type="dxa"/>
              <w:end w:w="110" w:type="dxa"/>
            </w:tcMar>
          </w:tcPr>
          <w:p>
            <w:pPr>
              <w:spacing w:after="0"/>
            </w:pPr>
            <w:r>
              <w:rPr>
                <w:rFonts w:ascii="Georgia" w:hAnsi="Georgia"/>
                <w:sz w:val="24"/>
              </w:rPr>
              <w:t>Programme designers, water and food-system actors, researchers, NGOs, infrastructure teams</w:t>
            </w:r>
          </w:p>
        </w:tc>
      </w:tr>
      <w:tr>
        <w:tc>
          <w:tcPr>
            <w:tcW w:type="dxa" w:w="3168"/>
            <w:vAlign w:val="center"/>
            <w:tcMar>
              <w:top w:w="90" w:type="dxa"/>
              <w:start w:w="110" w:type="dxa"/>
              <w:bottom w:w="90" w:type="dxa"/>
              <w:end w:w="110" w:type="dxa"/>
            </w:tcMar>
            <w:shd w:fill="F5F3EF"/>
          </w:tcPr>
          <w:p>
            <w:pPr>
              <w:spacing w:after="0"/>
            </w:pPr>
            <w:r>
              <w:rPr>
                <w:rFonts w:ascii="Georgia" w:hAnsi="Georgia"/>
                <w:b/>
                <w:color w:val="5C351F"/>
                <w:sz w:val="24"/>
              </w:rPr>
              <w:t>Related pieces</w:t>
            </w:r>
          </w:p>
        </w:tc>
        <w:tc>
          <w:tcPr>
            <w:tcW w:type="dxa" w:w="7488"/>
            <w:vAlign w:val="center"/>
            <w:tcMar>
              <w:top w:w="90" w:type="dxa"/>
              <w:start w:w="110" w:type="dxa"/>
              <w:bottom w:w="90" w:type="dxa"/>
              <w:end w:w="110" w:type="dxa"/>
            </w:tcMar>
          </w:tcPr>
          <w:p>
            <w:pPr>
              <w:spacing w:after="0"/>
            </w:pPr>
            <w:r>
              <w:rPr>
                <w:rFonts w:ascii="Georgia" w:hAnsi="Georgia"/>
                <w:sz w:val="24"/>
              </w:rPr>
              <w:t>Water Intelligence Maturity Model; Low-Cost Environmental Monitoring Pilot; Smart-System Ambition vs Data Reality</w:t>
            </w:r>
          </w:p>
        </w:tc>
      </w:tr>
    </w:tbl>
    <w:p/>
    <w:p>
      <w:pPr>
        <w:pStyle w:val="KHH1"/>
        <w:keepNext/>
        <w:keepLines/>
      </w:pPr>
      <w:r>
        <w:rPr>
          <w:rFonts w:ascii="Georgia" w:hAnsi="Georgia"/>
          <w:b/>
          <w:color w:val="5C351F"/>
          <w:sz w:val="34"/>
        </w:rPr>
        <w:t>What problem this solves</w:t>
      </w:r>
    </w:p>
    <w:p>
      <w:pPr>
        <w:spacing w:after="200"/>
        <w:ind w:firstLine="288"/>
      </w:pPr>
      <w:r>
        <w:rPr>
          <w:rFonts w:ascii="Georgia" w:hAnsi="Georgia"/>
          <w:sz w:val="25"/>
        </w:rPr>
        <w:t xml:space="preserve">Water is often discussed as a technical service issue when it is really a </w:t>
      </w:r>
      <w:r>
        <w:rPr>
          <w:rFonts w:ascii="Georgia" w:hAnsi="Georgia"/>
          <w:b/>
          <w:sz w:val="25"/>
        </w:rPr>
        <w:t>strategic capability</w:t>
      </w:r>
      <w:r>
        <w:rPr>
          <w:rFonts w:ascii="Georgia" w:hAnsi="Georgia"/>
          <w:sz w:val="25"/>
        </w:rPr>
        <w:t xml:space="preserve"> issue. Institutions, communities, utilities, farms, and field programmes all depend on decisions about availability, quality, timing, risk, and response. Yet those decisions are still too often made with fragmented records, weak monitoring habits, and little capacity to connect signals across systems.</w:t>
      </w:r>
    </w:p>
    <w:p>
      <w:pPr>
        <w:spacing w:after="200"/>
        <w:ind w:firstLine="288"/>
      </w:pPr>
      <w:r>
        <w:rPr>
          <w:rFonts w:ascii="Georgia" w:hAnsi="Georgia"/>
          <w:sz w:val="25"/>
        </w:rPr>
        <w:t>A water-intelligence lens reframes the challenge. Instead of asking whether an organisation has sensors, dashboards, or a single model, it asks whether the organisation can observe the right variables, interpret them responsibly, and use them to make better decisions before failure, scarcity, contamination, or waste become visible.</w:t>
      </w:r>
    </w:p>
    <w:p>
      <w:pPr>
        <w:spacing w:after="200"/>
        <w:ind w:firstLine="288"/>
      </w:pPr>
      <w:r>
        <w:rPr>
          <w:rFonts w:ascii="Georgia" w:hAnsi="Georgia"/>
          <w:sz w:val="25"/>
        </w:rPr>
        <w:t>For Rankine-style work, this matters because water touches several domains at once: infrastructure resilience, environmental monitoring, food systems, institutional planning, and applied AI. A clear explainer helps readers see why water intelligence should not be treated as a niche technical add-on.</w:t>
      </w:r>
    </w:p>
    <w:p>
      <w:pPr>
        <w:pStyle w:val="KHH1"/>
        <w:keepNext/>
        <w:keepLines/>
      </w:pPr>
      <w:r>
        <w:rPr>
          <w:rFonts w:ascii="Georgia" w:hAnsi="Georgia"/>
          <w:b/>
          <w:color w:val="5C351F"/>
          <w:sz w:val="34"/>
        </w:rPr>
        <w:t>What water intelligence actually means</w:t>
      </w:r>
    </w:p>
    <w:p>
      <w:pPr>
        <w:spacing w:after="200"/>
        <w:ind w:firstLine="288"/>
      </w:pPr>
      <w:r>
        <w:rPr>
          <w:rFonts w:ascii="Georgia" w:hAnsi="Georgia"/>
          <w:sz w:val="25"/>
        </w:rPr>
        <w:t xml:space="preserve">Water intelligence is the organised ability to </w:t>
      </w:r>
      <w:r>
        <w:rPr>
          <w:rFonts w:ascii="Georgia" w:hAnsi="Georgia"/>
          <w:b/>
          <w:sz w:val="25"/>
        </w:rPr>
        <w:t>sense, interpret, and act</w:t>
      </w:r>
      <w:r>
        <w:rPr>
          <w:rFonts w:ascii="Georgia" w:hAnsi="Georgia"/>
          <w:sz w:val="25"/>
        </w:rPr>
        <w:t xml:space="preserve"> on water-related information. It is broader than monitoring, and more decision-oriented than simple reporting. A mature water-intelligence approach usually combines four layers.</w:t>
      </w:r>
    </w:p>
    <w:p>
      <w:pPr>
        <w:pStyle w:val="KHH1"/>
        <w:keepNext/>
        <w:keepLines/>
      </w:pPr>
      <w:r>
        <w:rPr>
          <w:rFonts w:ascii="Georgia" w:hAnsi="Georgia"/>
          <w:b/>
          <w:color w:val="5C351F"/>
          <w:sz w:val="34"/>
        </w:rPr>
        <w:t>The four layers of capability</w:t>
      </w:r>
    </w:p>
    <w:p>
      <w:pPr>
        <w:spacing w:after="100"/>
        <w:ind w:left="360" w:hanging="259"/>
      </w:pPr>
      <w:r>
        <w:rPr>
          <w:rFonts w:ascii="Georgia" w:hAnsi="Georgia"/>
          <w:color w:val="5C351F"/>
          <w:sz w:val="25"/>
        </w:rPr>
        <w:t xml:space="preserve">• </w:t>
      </w:r>
      <w:r>
        <w:rPr>
          <w:rFonts w:ascii="Georgia" w:hAnsi="Georgia"/>
          <w:b/>
          <w:sz w:val="24"/>
        </w:rPr>
        <w:t xml:space="preserve">Observation. </w:t>
      </w:r>
      <w:r>
        <w:rPr>
          <w:rFonts w:ascii="Georgia" w:hAnsi="Georgia"/>
          <w:sz w:val="24"/>
        </w:rPr>
        <w:t>Knowing what to measure and how often to measure it. This may include water level, flow, pressure, quality indicators, rainfall, leakage, soil moisture, or service interruptions.</w:t>
      </w:r>
    </w:p>
    <w:p>
      <w:pPr>
        <w:spacing w:after="100"/>
        <w:ind w:left="360" w:hanging="259"/>
      </w:pPr>
      <w:r>
        <w:rPr>
          <w:rFonts w:ascii="Georgia" w:hAnsi="Georgia"/>
          <w:color w:val="5C351F"/>
          <w:sz w:val="25"/>
        </w:rPr>
        <w:t xml:space="preserve">• </w:t>
      </w:r>
      <w:r>
        <w:rPr>
          <w:rFonts w:ascii="Georgia" w:hAnsi="Georgia"/>
          <w:b/>
          <w:sz w:val="24"/>
        </w:rPr>
        <w:t xml:space="preserve">Integration. </w:t>
      </w:r>
      <w:r>
        <w:rPr>
          <w:rFonts w:ascii="Georgia" w:hAnsi="Georgia"/>
          <w:sz w:val="24"/>
        </w:rPr>
        <w:t>Bringing together field observations, maintenance logs, local context, geospatial information, or programme data so that signals do not remain isolated.</w:t>
      </w:r>
    </w:p>
    <w:p>
      <w:pPr>
        <w:spacing w:after="100"/>
        <w:ind w:left="360" w:hanging="259"/>
      </w:pPr>
      <w:r>
        <w:rPr>
          <w:rFonts w:ascii="Georgia" w:hAnsi="Georgia"/>
          <w:color w:val="5C351F"/>
          <w:sz w:val="25"/>
        </w:rPr>
        <w:t xml:space="preserve">• </w:t>
      </w:r>
      <w:r>
        <w:rPr>
          <w:rFonts w:ascii="Georgia" w:hAnsi="Georgia"/>
          <w:b/>
          <w:sz w:val="24"/>
        </w:rPr>
        <w:t xml:space="preserve">Interpretation. </w:t>
      </w:r>
      <w:r>
        <w:rPr>
          <w:rFonts w:ascii="Georgia" w:hAnsi="Georgia"/>
          <w:sz w:val="24"/>
        </w:rPr>
        <w:t>Turning raw observations into judgement: trend detection, anomaly recognition, simple risk thresholds, or explainable predictive support.</w:t>
      </w:r>
    </w:p>
    <w:p>
      <w:pPr>
        <w:spacing w:after="100"/>
        <w:ind w:left="360" w:hanging="259"/>
      </w:pPr>
      <w:r>
        <w:rPr>
          <w:rFonts w:ascii="Georgia" w:hAnsi="Georgia"/>
          <w:color w:val="5C351F"/>
          <w:sz w:val="25"/>
        </w:rPr>
        <w:t xml:space="preserve">• </w:t>
      </w:r>
      <w:r>
        <w:rPr>
          <w:rFonts w:ascii="Georgia" w:hAnsi="Georgia"/>
          <w:b/>
          <w:sz w:val="24"/>
        </w:rPr>
        <w:t xml:space="preserve">Response. </w:t>
      </w:r>
      <w:r>
        <w:rPr>
          <w:rFonts w:ascii="Georgia" w:hAnsi="Georgia"/>
          <w:sz w:val="24"/>
        </w:rPr>
        <w:t>Using insight to change action: maintenance scheduling, early warning, allocation decisions, pilot design, or governance conversations.</w:t>
      </w:r>
    </w:p>
    <w:p/>
    <w:p>
      <w:pPr>
        <w:pStyle w:val="KHH1"/>
        <w:keepNext/>
        <w:keepLines/>
      </w:pPr>
      <w:r>
        <w:rPr>
          <w:rFonts w:ascii="Georgia" w:hAnsi="Georgia"/>
          <w:b/>
          <w:color w:val="5C351F"/>
          <w:sz w:val="34"/>
        </w:rPr>
        <w:t>Why it is becoming strategic now</w:t>
      </w:r>
    </w:p>
    <w:p>
      <w:pPr>
        <w:spacing w:after="200"/>
        <w:ind w:firstLine="288"/>
      </w:pPr>
      <w:r>
        <w:rPr>
          <w:rFonts w:ascii="Georgia" w:hAnsi="Georgia"/>
          <w:sz w:val="25"/>
        </w:rPr>
        <w:t>Several shifts make water intelligence more important than it was even a few years ago. The first is variability. Climate pressure, urban growth, infrastructure strain, and environmental degradation make water systems less stable and less forgiving of reactive decision-making.</w:t>
      </w:r>
    </w:p>
    <w:p>
      <w:pPr>
        <w:spacing w:after="200"/>
        <w:ind w:firstLine="288"/>
      </w:pPr>
      <w:r>
        <w:rPr>
          <w:rFonts w:ascii="Georgia" w:hAnsi="Georgia"/>
          <w:sz w:val="25"/>
        </w:rPr>
        <w:t>The second is expectation. Organisations are increasingly expected to justify decisions with evidence, not instinct alone. That applies to utilities, humanitarian programmes, agriculture initiatives, schools, hospitals, estates, and local authorities.</w:t>
      </w:r>
    </w:p>
    <w:p>
      <w:pPr>
        <w:spacing w:after="200"/>
        <w:ind w:firstLine="288"/>
      </w:pPr>
      <w:r>
        <w:rPr>
          <w:rFonts w:ascii="Georgia" w:hAnsi="Georgia"/>
          <w:sz w:val="25"/>
        </w:rPr>
        <w:t>The third is technical possibility. Data tools, remote sensing, lightweight sensors, and explainable modelling approaches have made it more realistic to build decision-support layers around water systems. Founder-connected work on water distribution networks also shows that explainable machine-learning and web-based deployment can push water intelligence closer to operational use when the underlying data and governance are strong enough.</w:t>
      </w:r>
    </w:p>
    <w:p>
      <w:pPr>
        <w:spacing w:after="200"/>
        <w:ind w:firstLine="288"/>
      </w:pPr>
      <w:r>
        <w:rPr>
          <w:rFonts w:ascii="Georgia" w:hAnsi="Georgia"/>
          <w:sz w:val="25"/>
        </w:rPr>
        <w:t>This does not mean every organisation needs a sophisticated predictive platform. It means even modest actors need to understand that water decisions become more resilient when evidence is treated as infrastructure rather than afterthought.</w:t>
      </w:r>
    </w:p>
    <w:p>
      <w:pPr>
        <w:pStyle w:val="KHH1"/>
        <w:keepNext/>
        <w:keepLines/>
      </w:pPr>
      <w:r>
        <w:rPr>
          <w:rFonts w:ascii="Georgia" w:hAnsi="Georgia"/>
          <w:b/>
          <w:color w:val="5C351F"/>
          <w:sz w:val="34"/>
        </w:rPr>
        <w:t>Where water intelligence creates value</w:t>
      </w:r>
    </w:p>
    <w:p>
      <w:pPr>
        <w:spacing w:after="200"/>
        <w:ind w:firstLine="288"/>
      </w:pPr>
      <w:r>
        <w:rPr>
          <w:rFonts w:ascii="Georgia" w:hAnsi="Georgia"/>
          <w:sz w:val="25"/>
        </w:rPr>
        <w:t>Water intelligence creates value wherever water decisions are important and failure is expensive. In infrastructure settings, it helps teams move from reactive repairs toward risk-informed prioritisation. In environmental settings, it supports better observation of stress, restoration potential, and local change. In food systems, it strengthens irrigation, resilience planning, and seasonal response. In institutional settings such as schools, hospitals, and estates, it helps make private systems less vulnerable to silent decline.</w:t>
      </w:r>
    </w:p>
    <w:p>
      <w:pPr>
        <w:spacing w:after="200"/>
        <w:ind w:firstLine="288"/>
      </w:pPr>
      <w:r>
        <w:rPr>
          <w:rFonts w:ascii="Georgia" w:hAnsi="Georgia"/>
          <w:sz w:val="25"/>
        </w:rPr>
        <w:t>The value is not only predictive. Water intelligence can also improve communication. Good water decisions often fail because technical teams, funders, programme officers, and field operators are looking at different fragments of the same reality. A simple shared evidence model can improve coordination before it improves optimisation.</w:t>
      </w:r>
    </w:p>
    <w:p>
      <w:pPr>
        <w:pStyle w:val="KHH1"/>
        <w:keepNext/>
        <w:keepLines/>
      </w:pPr>
      <w:r>
        <w:rPr>
          <w:rFonts w:ascii="Georgia" w:hAnsi="Georgia"/>
          <w:b/>
          <w:color w:val="5C351F"/>
          <w:sz w:val="34"/>
        </w:rPr>
        <w:t>What good water intelligence is not</w:t>
      </w:r>
    </w:p>
    <w:p>
      <w:pPr>
        <w:spacing w:after="200"/>
        <w:ind w:firstLine="288"/>
      </w:pPr>
      <w:r>
        <w:rPr>
          <w:rFonts w:ascii="Georgia" w:hAnsi="Georgia"/>
          <w:sz w:val="25"/>
        </w:rPr>
        <w:t>It is not a dashboard-first project. A dashboard can display information, but it cannot decide what should be measured, whether the data are trustworthy, or what action threshold matters.</w:t>
      </w:r>
    </w:p>
    <w:p>
      <w:pPr>
        <w:spacing w:after="200"/>
        <w:ind w:firstLine="288"/>
      </w:pPr>
      <w:r>
        <w:rPr>
          <w:rFonts w:ascii="Georgia" w:hAnsi="Georgia"/>
          <w:sz w:val="25"/>
        </w:rPr>
        <w:t>It is not simply an AI problem. AI can help when pattern recognition, prioritisation, or scenario comparison are needed, but many water-intelligence gains come from clearer baselines, cleaner records, and better problem framing.</w:t>
      </w:r>
    </w:p>
    <w:p>
      <w:pPr>
        <w:spacing w:after="200"/>
        <w:ind w:firstLine="288"/>
      </w:pPr>
      <w:r>
        <w:rPr>
          <w:rFonts w:ascii="Georgia" w:hAnsi="Georgia"/>
          <w:sz w:val="25"/>
        </w:rPr>
        <w:t>It is not technology without governance. Water intelligence becomes fragile if ownership is unclear, if measurements are inconsistent, or if nobody is responsible for acting on a warning signal.</w:t>
      </w:r>
    </w:p>
    <w:p>
      <w:pPr>
        <w:pStyle w:val="KHH1"/>
        <w:keepNext/>
        <w:keepLines/>
      </w:pPr>
      <w:r>
        <w:rPr>
          <w:rFonts w:ascii="Georgia" w:hAnsi="Georgia"/>
          <w:b/>
          <w:color w:val="5C351F"/>
          <w:sz w:val="34"/>
        </w:rPr>
        <w:t>The minimum viable stack</w:t>
      </w:r>
    </w:p>
    <w:p>
      <w:pPr>
        <w:spacing w:after="200"/>
        <w:ind w:firstLine="288"/>
      </w:pPr>
      <w:r>
        <w:rPr>
          <w:rFonts w:ascii="Georgia" w:hAnsi="Georgia"/>
          <w:sz w:val="25"/>
        </w:rPr>
        <w:t>A useful way to introduce water intelligence is to think in terms of a minimum viable stack. Start with a problem that matters. Decide which indicators are truly tied to that problem. Choose the lightest credible observation method. Define where the data will live, who will read them, and what decisions they are expected to influence.</w:t>
      </w:r>
    </w:p>
    <w:p>
      <w:pPr>
        <w:spacing w:after="200"/>
        <w:ind w:firstLine="288"/>
      </w:pPr>
      <w:r>
        <w:rPr>
          <w:rFonts w:ascii="Georgia" w:hAnsi="Georgia"/>
          <w:sz w:val="25"/>
        </w:rPr>
        <w:t>That stack may be simple: periodic water-level readings, a maintenance log, geotagged observations, a spreadsheet, and a traffic-light decision rule. It becomes more sophisticated only when the workflow justifies it. The objective is not to look advanced. The objective is to make better decisions with fewer blind spots.</w:t>
      </w:r>
    </w:p>
    <w:p>
      <w:pPr>
        <w:pStyle w:val="KHH1"/>
        <w:keepNext/>
        <w:keepLines/>
      </w:pPr>
      <w:r>
        <w:rPr>
          <w:rFonts w:ascii="Georgia" w:hAnsi="Georgia"/>
          <w:b/>
          <w:color w:val="5C351F"/>
          <w:sz w:val="34"/>
        </w:rPr>
        <w:t>Common failure points</w:t>
      </w:r>
    </w:p>
    <w:p>
      <w:pPr>
        <w:spacing w:after="200"/>
        <w:ind w:firstLine="288"/>
      </w:pPr>
      <w:r>
        <w:rPr>
          <w:rFonts w:ascii="Georgia" w:hAnsi="Georgia"/>
          <w:sz w:val="25"/>
        </w:rPr>
        <w:t>The most common failure point is measuring what is easy rather than what is useful. Teams often collect volumes of data that never connect to action. Another failure point is weak maintenance discipline. A sensor or model is not a strategy if calibration, update routines, and responsibility structures are absent.</w:t>
      </w:r>
    </w:p>
    <w:p>
      <w:pPr>
        <w:spacing w:after="200"/>
        <w:ind w:firstLine="288"/>
      </w:pPr>
      <w:r>
        <w:rPr>
          <w:rFonts w:ascii="Georgia" w:hAnsi="Georgia"/>
          <w:sz w:val="25"/>
        </w:rPr>
        <w:t>A third failure point is overclaiming certainty. Water systems are shaped by context, infrastructure quality, local behaviour, policy, and environment. Good water intelligence should reduce uncertainty, not pretend to eliminate it.</w:t>
      </w:r>
    </w:p>
    <w:p>
      <w:pPr>
        <w:pStyle w:val="KHH1"/>
        <w:keepNext/>
        <w:keepLines/>
      </w:pPr>
      <w:r>
        <w:rPr>
          <w:rFonts w:ascii="Georgia" w:hAnsi="Georgia"/>
          <w:b/>
          <w:color w:val="5C351F"/>
          <w:sz w:val="34"/>
        </w:rPr>
        <w:t>A practical starting point</w:t>
      </w:r>
    </w:p>
    <w:p>
      <w:pPr>
        <w:spacing w:after="200"/>
        <w:ind w:firstLine="288"/>
      </w:pPr>
      <w:r>
        <w:rPr>
          <w:rFonts w:ascii="Georgia" w:hAnsi="Georgia"/>
          <w:sz w:val="25"/>
        </w:rPr>
        <w:t>For most organisations, the right first question is not, 'How do we build an advanced system?' It is, 'What water decision are we currently making badly because we cannot see enough?' That question keeps the work grounded.</w:t>
      </w:r>
    </w:p>
    <w:p>
      <w:pPr>
        <w:spacing w:after="200"/>
        <w:ind w:firstLine="288"/>
      </w:pPr>
      <w:r>
        <w:rPr>
          <w:rFonts w:ascii="Georgia" w:hAnsi="Georgia"/>
          <w:sz w:val="25"/>
        </w:rPr>
        <w:t>From there, a small pilot can define one decision, one dataset, one review cycle, and one response mechanism. That is enough to begin. Water intelligence becomes strategic not when it is flashy, but when it consistently improves judgement.</w:t>
      </w:r>
    </w:p>
    <w:p>
      <w:pPr>
        <w:pStyle w:val="KHH1"/>
        <w:keepNext/>
        <w:keepLines/>
      </w:pPr>
      <w:r>
        <w:rPr>
          <w:rFonts w:ascii="Georgia" w:hAnsi="Georgia"/>
          <w:b/>
          <w:color w:val="5C351F"/>
          <w:sz w:val="34"/>
        </w:rPr>
        <w:t>Visual and download brief</w:t>
      </w:r>
    </w:p>
    <w:p>
      <w:pPr>
        <w:spacing w:after="200"/>
        <w:ind w:firstLine="288"/>
      </w:pPr>
      <w:r>
        <w:rPr>
          <w:rFonts w:ascii="Georgia" w:hAnsi="Georgia"/>
          <w:sz w:val="25"/>
        </w:rPr>
        <w:t xml:space="preserve">Suggested infographic: </w:t>
      </w:r>
      <w:r>
        <w:rPr>
          <w:rFonts w:ascii="Georgia" w:hAnsi="Georgia"/>
          <w:b/>
          <w:sz w:val="25"/>
        </w:rPr>
        <w:t>The Water Intelligence Stack</w:t>
      </w:r>
      <w:r>
        <w:rPr>
          <w:rFonts w:ascii="Georgia" w:hAnsi="Georgia"/>
          <w:sz w:val="25"/>
        </w:rPr>
        <w:t xml:space="preserve"> with four layers — observation, integration, interpretation, and response — plus example inputs and decisions under each layer.</w:t>
      </w:r>
    </w:p>
    <w:p>
      <w:pPr>
        <w:spacing w:after="200"/>
        <w:ind w:firstLine="288"/>
      </w:pPr>
      <w:r>
        <w:rPr>
          <w:rFonts w:ascii="Georgia" w:hAnsi="Georgia"/>
          <w:sz w:val="25"/>
        </w:rPr>
        <w:t xml:space="preserve">Suggested downloadable: a one-page </w:t>
      </w:r>
      <w:r>
        <w:rPr>
          <w:rFonts w:ascii="Georgia" w:hAnsi="Georgia"/>
          <w:b/>
          <w:sz w:val="25"/>
        </w:rPr>
        <w:t>minimum viable dataset checklist</w:t>
      </w:r>
      <w:r>
        <w:rPr>
          <w:rFonts w:ascii="Georgia" w:hAnsi="Georgia"/>
          <w:sz w:val="25"/>
        </w:rPr>
        <w:t xml:space="preserve"> for institutions starting with boreholes, estates, schools, clinics, or field sites.</w:t>
      </w:r>
    </w:p>
    <w:p>
      <w:pPr>
        <w:pStyle w:val="KHH1"/>
        <w:keepNext/>
        <w:keepLines/>
      </w:pPr>
      <w:r>
        <w:rPr>
          <w:rFonts w:ascii="Georgia" w:hAnsi="Georgia"/>
          <w:b/>
          <w:color w:val="5C351F"/>
          <w:sz w:val="34"/>
        </w:rPr>
        <w:t>Source note</w:t>
      </w:r>
    </w:p>
    <w:p>
      <w:pPr>
        <w:spacing w:after="200"/>
        <w:ind w:firstLine="288"/>
      </w:pPr>
      <w:r>
        <w:rPr>
          <w:rFonts w:ascii="Georgia" w:hAnsi="Georgia"/>
          <w:sz w:val="25"/>
        </w:rPr>
        <w:t>This expanded draft is based on the Rankine Knowledge Hub deep-dive, the published direction of the live Knowledge Hub, and the first-wave content architecture developed for Rankine Innovation Lab. It is written as a website-ready long-form draft that can later be tightened for on-page presentation or adapted into a downloadable asset.</w:t>
      </w:r>
    </w:p>
    <w:sectPr w:rsidR="00FC693F" w:rsidRPr="0006063C" w:rsidSect="00034616">
      <w:headerReference w:type="default" r:id="rId9"/>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6E6054"/>
        <w:sz w:val="22"/>
      </w:rPr>
      <w:t>Rankine Knowledge Hub | Water Intelligence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93" w:lineRule="auto" w:after="200"/>
    </w:pPr>
    <w:rPr>
      <w:rFonts w:ascii="Georgia" w:hAnsi="Georgia"/>
      <w:sz w:val="2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HTitle">
    <w:name w:val="KH Title"/>
    <w:basedOn w:val="Title"/>
    <w:rPr>
      <w:rFonts w:ascii="Georgia" w:hAnsi="Georgia"/>
      <w:b/>
      <w:color w:val="5C351F"/>
      <w:sz w:val="52"/>
    </w:rPr>
  </w:style>
  <w:style w:type="paragraph" w:customStyle="1" w:styleId="KHSubtitle">
    <w:name w:val="KH Subtitle"/>
    <w:basedOn w:val="Normal"/>
    <w:rPr>
      <w:rFonts w:ascii="Georgia" w:hAnsi="Georgia"/>
      <w:b w:val="0"/>
      <w:color w:val="6E6054"/>
      <w:sz w:val="30"/>
    </w:rPr>
  </w:style>
  <w:style w:type="paragraph" w:customStyle="1" w:styleId="KHH1">
    <w:name w:val="KH H1"/>
    <w:basedOn w:val="Heading1"/>
    <w:pPr>
      <w:spacing w:before="240" w:after="120"/>
    </w:pPr>
    <w:rPr>
      <w:rFonts w:ascii="Georgia" w:hAnsi="Georgia"/>
      <w:b/>
      <w:color w:val="5C351F"/>
      <w:sz w:val="34"/>
    </w:rPr>
  </w:style>
  <w:style w:type="paragraph" w:customStyle="1" w:styleId="KHH2">
    <w:name w:val="KH H2"/>
    <w:basedOn w:val="Heading2"/>
    <w:pPr>
      <w:spacing w:before="160" w:after="80"/>
    </w:pPr>
    <w:rPr>
      <w:rFonts w:ascii="Georgia" w:hAnsi="Georgia"/>
      <w:b/>
      <w:color w:val="5C351F"/>
      <w:sz w:val="29"/>
    </w:rPr>
  </w:style>
  <w:style w:type="paragraph" w:customStyle="1" w:styleId="KHSmall">
    <w:name w:val="KH Small"/>
    <w:basedOn w:val="Normal"/>
    <w:rPr>
      <w:rFonts w:ascii="Georgia" w:hAnsi="Georgia"/>
      <w:b w:val="0"/>
      <w:color w:val="6E6054"/>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