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spacing w:after="120"/>
        <w:pBdr>
          <w:bottom w:val="single" w:sz="10" w:space="1" w:color="4E79C1"/>
        </w:pBdr>
      </w:pPr>
      <w:r>
        <w:rPr>
          <w:rFonts w:ascii="Georgia" w:hAnsi="Georgia"/>
          <w:b/>
          <w:color w:val="5C351F"/>
          <w:sz w:val="52"/>
        </w:rPr>
        <w:t>A Circularity Readiness Model for Infrastructure Decisions</w:t>
      </w:r>
    </w:p>
    <w:p>
      <w:pPr>
        <w:pStyle w:val="KHSubtitle"/>
        <w:spacing w:after="360"/>
      </w:pPr>
      <w:r>
        <w:rPr>
          <w:rFonts w:ascii="Georgia" w:hAnsi="Georgia"/>
          <w:i/>
          <w:color w:val="6E6054"/>
          <w:sz w:val="29"/>
        </w:rPr>
        <w:t>Expanded draft | Framework | Domain: Sustainability &amp; Circularity</w:t>
      </w:r>
    </w:p>
    <w:tbl>
      <w:tblPr>
        <w:tblW w:type="auto" w:w="0"/>
        <w:jc w:val="center"/>
        <w:tblLook w:firstColumn="1" w:firstRow="1" w:lastColumn="0" w:lastRow="0" w:noHBand="0" w:noVBand="1" w:val="04A0"/>
      </w:tblPr>
      <w:tblGrid>
        <w:gridCol w:w="4896"/>
        <w:gridCol w:w="4896"/>
      </w:tblGrid>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Primary type</w:t>
            </w:r>
          </w:p>
        </w:tc>
        <w:tc>
          <w:tcPr>
            <w:tcW w:type="dxa" w:w="7488"/>
            <w:vAlign w:val="center"/>
            <w:tcMar>
              <w:top w:w="90" w:type="dxa"/>
              <w:start w:w="110" w:type="dxa"/>
              <w:bottom w:w="90" w:type="dxa"/>
              <w:end w:w="110" w:type="dxa"/>
            </w:tcMar>
          </w:tcPr>
          <w:p>
            <w:pPr>
              <w:spacing w:after="0"/>
            </w:pPr>
            <w:r>
              <w:rPr>
                <w:rFonts w:ascii="Georgia" w:hAnsi="Georgia"/>
                <w:sz w:val="24"/>
              </w:rPr>
              <w:t>Framework</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Suggested slug</w:t>
            </w:r>
          </w:p>
        </w:tc>
        <w:tc>
          <w:tcPr>
            <w:tcW w:type="dxa" w:w="7488"/>
            <w:vAlign w:val="center"/>
            <w:tcMar>
              <w:top w:w="90" w:type="dxa"/>
              <w:start w:w="110" w:type="dxa"/>
              <w:bottom w:w="90" w:type="dxa"/>
              <w:end w:w="110" w:type="dxa"/>
            </w:tcMar>
          </w:tcPr>
          <w:p>
            <w:pPr>
              <w:spacing w:after="0"/>
            </w:pPr>
            <w:r>
              <w:rPr>
                <w:rFonts w:ascii="Georgia" w:hAnsi="Georgia"/>
                <w:sz w:val="24"/>
              </w:rPr>
              <w:t>/knowledge-hub/frameworks/circularity-readiness-infrastructure-decisions/</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Recommended media</w:t>
            </w:r>
          </w:p>
        </w:tc>
        <w:tc>
          <w:tcPr>
            <w:tcW w:type="dxa" w:w="7488"/>
            <w:vAlign w:val="center"/>
            <w:tcMar>
              <w:top w:w="90" w:type="dxa"/>
              <w:start w:w="110" w:type="dxa"/>
              <w:bottom w:w="90" w:type="dxa"/>
              <w:end w:w="110" w:type="dxa"/>
            </w:tcMar>
          </w:tcPr>
          <w:p>
            <w:pPr>
              <w:spacing w:after="0"/>
            </w:pPr>
            <w:r>
              <w:rPr>
                <w:rFonts w:ascii="Georgia" w:hAnsi="Georgia"/>
                <w:sz w:val="24"/>
              </w:rPr>
              <w:t>Text + readiness matrix + one-page worksheet</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Audience</w:t>
            </w:r>
          </w:p>
        </w:tc>
        <w:tc>
          <w:tcPr>
            <w:tcW w:type="dxa" w:w="7488"/>
            <w:vAlign w:val="center"/>
            <w:tcMar>
              <w:top w:w="90" w:type="dxa"/>
              <w:start w:w="110" w:type="dxa"/>
              <w:bottom w:w="90" w:type="dxa"/>
              <w:end w:w="110" w:type="dxa"/>
            </w:tcMar>
          </w:tcPr>
          <w:p>
            <w:pPr>
              <w:spacing w:after="0"/>
            </w:pPr>
            <w:r>
              <w:rPr>
                <w:rFonts w:ascii="Georgia" w:hAnsi="Georgia"/>
                <w:sz w:val="24"/>
              </w:rPr>
              <w:t>Project leads, sustainability teams, infrastructure planners, SME decision-makers, researchers</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Related pieces</w:t>
            </w:r>
          </w:p>
        </w:tc>
        <w:tc>
          <w:tcPr>
            <w:tcW w:type="dxa" w:w="7488"/>
            <w:vAlign w:val="center"/>
            <w:tcMar>
              <w:top w:w="90" w:type="dxa"/>
              <w:start w:w="110" w:type="dxa"/>
              <w:bottom w:w="90" w:type="dxa"/>
              <w:end w:w="110" w:type="dxa"/>
            </w:tcMar>
          </w:tcPr>
          <w:p>
            <w:pPr>
              <w:spacing w:after="0"/>
            </w:pPr>
            <w:r>
              <w:rPr>
                <w:rFonts w:ascii="Georgia" w:hAnsi="Georgia"/>
                <w:sz w:val="24"/>
              </w:rPr>
              <w:t>Circular Economy for Construction; Bio-Based Material Innovation Screening; Research-to-Action Framework</w:t>
            </w:r>
          </w:p>
        </w:tc>
      </w:tr>
    </w:tbl>
    <w:p/>
    <w:p>
      <w:pPr>
        <w:pStyle w:val="KHH1"/>
        <w:keepNext/>
        <w:keepLines/>
      </w:pPr>
      <w:r>
        <w:rPr>
          <w:rFonts w:ascii="Georgia" w:hAnsi="Georgia"/>
          <w:b/>
          <w:color w:val="5C351F"/>
          <w:sz w:val="34"/>
        </w:rPr>
        <w:t>What problem this solves</w:t>
      </w:r>
    </w:p>
    <w:p>
      <w:pPr>
        <w:spacing w:after="200"/>
        <w:ind w:firstLine="288"/>
      </w:pPr>
      <w:r>
        <w:rPr>
          <w:rFonts w:ascii="Georgia" w:hAnsi="Georgia"/>
          <w:sz w:val="25"/>
        </w:rPr>
        <w:t>Circularity is now used in many infrastructure conversations, but the word is often invoked long before the conditions for circular action actually exist. That creates a familiar pattern: ambitious language, weak implementation pathways, and very little clarity about where an organisation should start.</w:t>
      </w:r>
    </w:p>
    <w:p>
      <w:pPr>
        <w:spacing w:after="200"/>
        <w:ind w:firstLine="288"/>
      </w:pPr>
      <w:r>
        <w:rPr>
          <w:rFonts w:ascii="Georgia" w:hAnsi="Georgia"/>
          <w:sz w:val="25"/>
        </w:rPr>
        <w:t xml:space="preserve">A readiness model helps by shifting the question from </w:t>
      </w:r>
      <w:r>
        <w:rPr>
          <w:rFonts w:ascii="Georgia" w:hAnsi="Georgia"/>
          <w:b/>
          <w:sz w:val="25"/>
        </w:rPr>
        <w:t>'Do we believe in circularity?'</w:t>
      </w:r>
      <w:r>
        <w:rPr>
          <w:rFonts w:ascii="Georgia" w:hAnsi="Georgia"/>
          <w:sz w:val="25"/>
        </w:rPr>
        <w:t xml:space="preserve"> to </w:t>
      </w:r>
      <w:r>
        <w:rPr>
          <w:rFonts w:ascii="Georgia" w:hAnsi="Georgia"/>
          <w:b/>
          <w:sz w:val="25"/>
        </w:rPr>
        <w:t>'Are we currently positioned to make circular decisions well?'</w:t>
      </w:r>
      <w:r>
        <w:rPr>
          <w:rFonts w:ascii="Georgia" w:hAnsi="Georgia"/>
          <w:sz w:val="25"/>
        </w:rPr>
        <w:t xml:space="preserve"> This is more useful because circularity depends on multiple conditions at once: design choices, procurement rules, material flows, supplier relationships, operational discipline, and measurement habits.</w:t>
      </w:r>
    </w:p>
    <w:p>
      <w:pPr>
        <w:spacing w:after="200"/>
        <w:ind w:firstLine="288"/>
      </w:pPr>
      <w:r>
        <w:rPr>
          <w:rFonts w:ascii="Georgia" w:hAnsi="Georgia"/>
          <w:sz w:val="25"/>
        </w:rPr>
        <w:t>For infrastructure decisions, this matters especially because projects are long-lived, capital-intensive, and path-dependent. A poor decision early in design or procurement can lock in waste, inflexibility, or high-carbon choices for years.</w:t>
      </w:r>
    </w:p>
    <w:p>
      <w:pPr>
        <w:pStyle w:val="KHH1"/>
        <w:keepNext/>
        <w:keepLines/>
      </w:pPr>
      <w:r>
        <w:rPr>
          <w:rFonts w:ascii="Georgia" w:hAnsi="Georgia"/>
          <w:b/>
          <w:color w:val="5C351F"/>
          <w:sz w:val="34"/>
        </w:rPr>
        <w:t>What the model measures</w:t>
      </w:r>
    </w:p>
    <w:p>
      <w:pPr>
        <w:spacing w:after="200"/>
        <w:ind w:firstLine="288"/>
      </w:pPr>
      <w:r>
        <w:rPr>
          <w:rFonts w:ascii="Georgia" w:hAnsi="Georgia"/>
          <w:sz w:val="25"/>
        </w:rPr>
        <w:t>This framework measures readiness across six dimensions. The purpose is not to produce a pass–fail verdict. The purpose is to reveal where the enabling conditions are strong, where they are weak, and which bottlenecks will most likely block real circular action.</w:t>
      </w:r>
    </w:p>
    <w:p>
      <w:pPr>
        <w:pStyle w:val="KHH1"/>
        <w:keepNext/>
        <w:keepLines/>
      </w:pPr>
      <w:r>
        <w:rPr>
          <w:rFonts w:ascii="Georgia" w:hAnsi="Georgia"/>
          <w:b/>
          <w:color w:val="5C351F"/>
          <w:sz w:val="34"/>
        </w:rPr>
        <w:t>The six readiness dimensions</w:t>
      </w:r>
    </w:p>
    <w:p>
      <w:pPr>
        <w:spacing w:after="100"/>
        <w:ind w:left="360" w:hanging="259"/>
      </w:pPr>
      <w:r>
        <w:rPr>
          <w:rFonts w:ascii="Georgia" w:hAnsi="Georgia"/>
          <w:color w:val="5C351F"/>
          <w:sz w:val="25"/>
        </w:rPr>
        <w:t xml:space="preserve">• </w:t>
      </w:r>
      <w:r>
        <w:rPr>
          <w:rFonts w:ascii="Georgia" w:hAnsi="Georgia"/>
          <w:b/>
          <w:sz w:val="24"/>
        </w:rPr>
        <w:t xml:space="preserve">1. Strategic intent. </w:t>
      </w:r>
      <w:r>
        <w:rPr>
          <w:rFonts w:ascii="Georgia" w:hAnsi="Georgia"/>
          <w:sz w:val="24"/>
        </w:rPr>
        <w:t>Does the organisation define circularity clearly enough to guide real decisions, or is the term still being used as a broad aspiration?</w:t>
      </w:r>
    </w:p>
    <w:p>
      <w:pPr>
        <w:spacing w:after="100"/>
        <w:ind w:left="360" w:hanging="259"/>
      </w:pPr>
      <w:r>
        <w:rPr>
          <w:rFonts w:ascii="Georgia" w:hAnsi="Georgia"/>
          <w:color w:val="5C351F"/>
          <w:sz w:val="25"/>
        </w:rPr>
        <w:t xml:space="preserve">• </w:t>
      </w:r>
      <w:r>
        <w:rPr>
          <w:rFonts w:ascii="Georgia" w:hAnsi="Georgia"/>
          <w:b/>
          <w:sz w:val="24"/>
        </w:rPr>
        <w:t xml:space="preserve">2. Design and specification. </w:t>
      </w:r>
      <w:r>
        <w:rPr>
          <w:rFonts w:ascii="Georgia" w:hAnsi="Georgia"/>
          <w:sz w:val="24"/>
        </w:rPr>
        <w:t>Are designers and technical teams able to compare repair, reuse, modularity, substitution, maintenance, and end-of-life implications before procurement closes the option space?</w:t>
      </w:r>
    </w:p>
    <w:p>
      <w:pPr>
        <w:spacing w:after="100"/>
        <w:ind w:left="360" w:hanging="259"/>
      </w:pPr>
      <w:r>
        <w:rPr>
          <w:rFonts w:ascii="Georgia" w:hAnsi="Georgia"/>
          <w:color w:val="5C351F"/>
          <w:sz w:val="25"/>
        </w:rPr>
        <w:t xml:space="preserve">• </w:t>
      </w:r>
      <w:r>
        <w:rPr>
          <w:rFonts w:ascii="Georgia" w:hAnsi="Georgia"/>
          <w:b/>
          <w:sz w:val="24"/>
        </w:rPr>
        <w:t xml:space="preserve">3. Supply-chain and market fit. </w:t>
      </w:r>
      <w:r>
        <w:rPr>
          <w:rFonts w:ascii="Georgia" w:hAnsi="Georgia"/>
          <w:sz w:val="24"/>
        </w:rPr>
        <w:t>Are there credible suppliers, recovery pathways, reverse logistics, or refurbishment options that make circular choices feasible in the actual operating context?</w:t>
      </w:r>
    </w:p>
    <w:p>
      <w:pPr>
        <w:spacing w:after="100"/>
        <w:ind w:left="360" w:hanging="259"/>
      </w:pPr>
      <w:r>
        <w:rPr>
          <w:rFonts w:ascii="Georgia" w:hAnsi="Georgia"/>
          <w:color w:val="5C351F"/>
          <w:sz w:val="25"/>
        </w:rPr>
        <w:t xml:space="preserve">• </w:t>
      </w:r>
      <w:r>
        <w:rPr>
          <w:rFonts w:ascii="Georgia" w:hAnsi="Georgia"/>
          <w:b/>
          <w:sz w:val="24"/>
        </w:rPr>
        <w:t xml:space="preserve">4. Data and traceability. </w:t>
      </w:r>
      <w:r>
        <w:rPr>
          <w:rFonts w:ascii="Georgia" w:hAnsi="Georgia"/>
          <w:sz w:val="24"/>
        </w:rPr>
        <w:t>Can the organisation identify materials, lifecycles, failure histories, or asset conditions well enough to support circular decision-making?</w:t>
      </w:r>
    </w:p>
    <w:p>
      <w:pPr>
        <w:spacing w:after="100"/>
        <w:ind w:left="360" w:hanging="259"/>
      </w:pPr>
      <w:r>
        <w:rPr>
          <w:rFonts w:ascii="Georgia" w:hAnsi="Georgia"/>
          <w:color w:val="5C351F"/>
          <w:sz w:val="25"/>
        </w:rPr>
        <w:t xml:space="preserve">• </w:t>
      </w:r>
      <w:r>
        <w:rPr>
          <w:rFonts w:ascii="Georgia" w:hAnsi="Georgia"/>
          <w:b/>
          <w:sz w:val="24"/>
        </w:rPr>
        <w:t xml:space="preserve">5. Governance and incentives. </w:t>
      </w:r>
      <w:r>
        <w:rPr>
          <w:rFonts w:ascii="Georgia" w:hAnsi="Georgia"/>
          <w:sz w:val="24"/>
        </w:rPr>
        <w:t>Do procurement rules, budgets, contracts, and accountability structures support circular outcomes, or do they quietly reward linear behaviour?</w:t>
      </w:r>
    </w:p>
    <w:p>
      <w:pPr>
        <w:spacing w:after="100"/>
        <w:ind w:left="360" w:hanging="259"/>
      </w:pPr>
      <w:r>
        <w:rPr>
          <w:rFonts w:ascii="Georgia" w:hAnsi="Georgia"/>
          <w:color w:val="5C351F"/>
          <w:sz w:val="25"/>
        </w:rPr>
        <w:t xml:space="preserve">• </w:t>
      </w:r>
      <w:r>
        <w:rPr>
          <w:rFonts w:ascii="Georgia" w:hAnsi="Georgia"/>
          <w:b/>
          <w:sz w:val="24"/>
        </w:rPr>
        <w:t xml:space="preserve">6. Measurement and learning. </w:t>
      </w:r>
      <w:r>
        <w:rPr>
          <w:rFonts w:ascii="Georgia" w:hAnsi="Georgia"/>
          <w:sz w:val="24"/>
        </w:rPr>
        <w:t>Is there a way to track whether circular interventions are delivering value, or are decisions being made without feedback?</w:t>
      </w:r>
    </w:p>
    <w:p/>
    <w:p>
      <w:pPr>
        <w:pStyle w:val="KHH1"/>
        <w:keepNext/>
        <w:keepLines/>
      </w:pPr>
      <w:r>
        <w:rPr>
          <w:rFonts w:ascii="Georgia" w:hAnsi="Georgia"/>
          <w:b/>
          <w:color w:val="5C351F"/>
          <w:sz w:val="34"/>
        </w:rPr>
        <w:t>Scoring logic</w:t>
      </w:r>
    </w:p>
    <w:p>
      <w:pPr>
        <w:spacing w:after="200"/>
        <w:ind w:firstLine="288"/>
      </w:pPr>
      <w:r>
        <w:rPr>
          <w:rFonts w:ascii="Georgia" w:hAnsi="Georgia"/>
          <w:sz w:val="25"/>
        </w:rPr>
        <w:t xml:space="preserve">Each dimension can be scored on a four-level scale. </w:t>
      </w:r>
      <w:r>
        <w:rPr>
          <w:rFonts w:ascii="Georgia" w:hAnsi="Georgia"/>
          <w:b/>
          <w:sz w:val="25"/>
        </w:rPr>
        <w:t>Level 1</w:t>
      </w:r>
      <w:r>
        <w:rPr>
          <w:rFonts w:ascii="Georgia" w:hAnsi="Georgia"/>
          <w:sz w:val="25"/>
        </w:rPr>
        <w:t xml:space="preserve"> means circularity is largely rhetorical. </w:t>
      </w:r>
      <w:r>
        <w:rPr>
          <w:rFonts w:ascii="Georgia" w:hAnsi="Georgia"/>
          <w:b/>
          <w:sz w:val="25"/>
        </w:rPr>
        <w:t>Level 2</w:t>
      </w:r>
      <w:r>
        <w:rPr>
          <w:rFonts w:ascii="Georgia" w:hAnsi="Georgia"/>
          <w:sz w:val="25"/>
        </w:rPr>
        <w:t xml:space="preserve"> means there are isolated efforts but weak integration. </w:t>
      </w:r>
      <w:r>
        <w:rPr>
          <w:rFonts w:ascii="Georgia" w:hAnsi="Georgia"/>
          <w:b/>
          <w:sz w:val="25"/>
        </w:rPr>
        <w:t>Level 3</w:t>
      </w:r>
      <w:r>
        <w:rPr>
          <w:rFonts w:ascii="Georgia" w:hAnsi="Georgia"/>
          <w:sz w:val="25"/>
        </w:rPr>
        <w:t xml:space="preserve"> means circular choices are becoming operational in selected workflows. </w:t>
      </w:r>
      <w:r>
        <w:rPr>
          <w:rFonts w:ascii="Georgia" w:hAnsi="Georgia"/>
          <w:b/>
          <w:sz w:val="25"/>
        </w:rPr>
        <w:t>Level 4</w:t>
      </w:r>
      <w:r>
        <w:rPr>
          <w:rFonts w:ascii="Georgia" w:hAnsi="Georgia"/>
          <w:sz w:val="25"/>
        </w:rPr>
        <w:t xml:space="preserve"> means circularity is embedded well enough to influence design, procurement, operations, and review consistently.</w:t>
      </w:r>
    </w:p>
    <w:p>
      <w:pPr>
        <w:spacing w:after="200"/>
        <w:ind w:firstLine="288"/>
      </w:pPr>
      <w:r>
        <w:rPr>
          <w:rFonts w:ascii="Georgia" w:hAnsi="Georgia"/>
          <w:sz w:val="25"/>
        </w:rPr>
        <w:t>The point of the scale is not precision theatre. It is structured conversation. A team should be able to justify why it has placed itself at a given level and what evidence supports that judgement.</w:t>
      </w:r>
    </w:p>
    <w:p>
      <w:pPr>
        <w:pStyle w:val="KHH1"/>
        <w:keepNext/>
        <w:keepLines/>
      </w:pPr>
      <w:r>
        <w:rPr>
          <w:rFonts w:ascii="Georgia" w:hAnsi="Georgia"/>
          <w:b/>
          <w:color w:val="5C351F"/>
          <w:sz w:val="34"/>
        </w:rPr>
        <w:t>How to apply the framework</w:t>
      </w:r>
    </w:p>
    <w:p>
      <w:pPr>
        <w:spacing w:after="200"/>
        <w:ind w:firstLine="288"/>
      </w:pPr>
      <w:r>
        <w:rPr>
          <w:rFonts w:ascii="Georgia" w:hAnsi="Georgia"/>
          <w:sz w:val="25"/>
        </w:rPr>
        <w:t>Start with one infrastructure decision, not a whole organisation. That could be a material substitution choice, an asset-replacement question, a building retrofit package, or a maintenance strategy. Score the six dimensions against that decision context rather than against an ideal future state.</w:t>
      </w:r>
    </w:p>
    <w:p>
      <w:pPr>
        <w:spacing w:after="200"/>
        <w:ind w:firstLine="288"/>
      </w:pPr>
      <w:r>
        <w:rPr>
          <w:rFonts w:ascii="Georgia" w:hAnsi="Georgia"/>
          <w:sz w:val="25"/>
        </w:rPr>
        <w:t>Then identify where the lowest-scoring dimensions are blocking the rest. For many teams, circularity does not fail because nobody cares. It fails because one missing condition such as procurement flexibility, material traceability, or supplier capability quietly undermines the whole initiative.</w:t>
      </w:r>
    </w:p>
    <w:p>
      <w:pPr>
        <w:pStyle w:val="KHH1"/>
        <w:keepNext/>
        <w:keepLines/>
      </w:pPr>
      <w:r>
        <w:rPr>
          <w:rFonts w:ascii="Georgia" w:hAnsi="Georgia"/>
          <w:b/>
          <w:color w:val="5C351F"/>
          <w:sz w:val="34"/>
        </w:rPr>
        <w:t>What good use looks like</w:t>
      </w:r>
    </w:p>
    <w:p>
      <w:pPr>
        <w:spacing w:after="200"/>
        <w:ind w:firstLine="288"/>
      </w:pPr>
      <w:r>
        <w:rPr>
          <w:rFonts w:ascii="Georgia" w:hAnsi="Georgia"/>
          <w:sz w:val="25"/>
        </w:rPr>
        <w:t>A good use of the model produces three outputs. First, it gives a shared language for discussing circular feasibility. Second, it reveals where to intervene next: policy, market, data, design, or learning. Third, it keeps teams from overstating progress.</w:t>
      </w:r>
    </w:p>
    <w:p>
      <w:pPr>
        <w:spacing w:after="200"/>
        <w:ind w:firstLine="288"/>
      </w:pPr>
      <w:r>
        <w:rPr>
          <w:rFonts w:ascii="Georgia" w:hAnsi="Georgia"/>
          <w:sz w:val="25"/>
        </w:rPr>
        <w:t>This matters because not every circular aspiration is ready to be piloted. Some contexts still need basic enabling work before more ambitious moves become responsible.</w:t>
      </w:r>
    </w:p>
    <w:p>
      <w:pPr>
        <w:pStyle w:val="KHH1"/>
        <w:keepNext/>
        <w:keepLines/>
      </w:pPr>
      <w:r>
        <w:rPr>
          <w:rFonts w:ascii="Georgia" w:hAnsi="Georgia"/>
          <w:b/>
          <w:color w:val="5C351F"/>
          <w:sz w:val="34"/>
        </w:rPr>
        <w:t>Worked example</w:t>
      </w:r>
    </w:p>
    <w:p>
      <w:pPr>
        <w:spacing w:after="200"/>
        <w:ind w:firstLine="288"/>
      </w:pPr>
      <w:r>
        <w:rPr>
          <w:rFonts w:ascii="Georgia" w:hAnsi="Georgia"/>
          <w:sz w:val="25"/>
        </w:rPr>
        <w:t>Imagine an infrastructure team considering recycled or polymer-enhanced material options in a refurbishment project. Strategic intent may be strong because leadership wants lower waste and longer life. But design and specification may still be limited if the technical team lacks lifecycle comparison tools. Supply-chain fit may be uncertain if dependable recovery or sourcing partners are scarce. The framework reveals that the issue is not whether circularity is desirable, but whether the surrounding conditions support a credible decision.</w:t>
      </w:r>
    </w:p>
    <w:p>
      <w:pPr>
        <w:spacing w:after="200"/>
        <w:ind w:firstLine="288"/>
      </w:pPr>
      <w:r>
        <w:rPr>
          <w:rFonts w:ascii="Georgia" w:hAnsi="Georgia"/>
          <w:sz w:val="25"/>
        </w:rPr>
        <w:t>That kind of diagnosis is far more useful than a simple yes-or-no sustainability label.</w:t>
      </w:r>
    </w:p>
    <w:p>
      <w:pPr>
        <w:pStyle w:val="KHH1"/>
        <w:keepNext/>
        <w:keepLines/>
      </w:pPr>
      <w:r>
        <w:rPr>
          <w:rFonts w:ascii="Georgia" w:hAnsi="Georgia"/>
          <w:b/>
          <w:color w:val="5C351F"/>
          <w:sz w:val="34"/>
        </w:rPr>
        <w:t>Common misuse</w:t>
      </w:r>
    </w:p>
    <w:p>
      <w:pPr>
        <w:spacing w:after="200"/>
        <w:ind w:firstLine="288"/>
      </w:pPr>
      <w:r>
        <w:rPr>
          <w:rFonts w:ascii="Georgia" w:hAnsi="Georgia"/>
          <w:sz w:val="25"/>
        </w:rPr>
        <w:t>One misuse is turning readiness into branding. The framework should not be used to produce inflated maturity claims without evidence. Another misuse is treating all dimensions as equally urgent in every context. In practice, a low score in one dimension may be far more constraining than two moderate scores elsewhere.</w:t>
      </w:r>
    </w:p>
    <w:p>
      <w:pPr>
        <w:spacing w:after="200"/>
        <w:ind w:firstLine="288"/>
      </w:pPr>
      <w:r>
        <w:rPr>
          <w:rFonts w:ascii="Georgia" w:hAnsi="Georgia"/>
          <w:sz w:val="25"/>
        </w:rPr>
        <w:t>A third misuse is forgetting that local conditions matter. Circularity looks different in settings with weak recovery infrastructure, unstable supply chains, or limited traceability. The framework should help adapt expectations, not erase context.</w:t>
      </w:r>
    </w:p>
    <w:p>
      <w:pPr>
        <w:pStyle w:val="KHH1"/>
        <w:keepNext/>
        <w:keepLines/>
      </w:pPr>
      <w:r>
        <w:rPr>
          <w:rFonts w:ascii="Georgia" w:hAnsi="Georgia"/>
          <w:b/>
          <w:color w:val="5C351F"/>
          <w:sz w:val="34"/>
        </w:rPr>
        <w:t>How this connects to Rankine-style work</w:t>
      </w:r>
    </w:p>
    <w:p>
      <w:pPr>
        <w:spacing w:after="200"/>
        <w:ind w:firstLine="288"/>
      </w:pPr>
      <w:r>
        <w:rPr>
          <w:rFonts w:ascii="Georgia" w:hAnsi="Georgia"/>
          <w:sz w:val="25"/>
        </w:rPr>
        <w:t>For Rankine, the value of a circularity-readiness model is translational. It turns research on circular economy barriers, drivers, materials, and decision systems into something organisations can actually use. It also fits the broader research-to-action pathway by showing how evidence becomes a practical tool for screening and conversation.</w:t>
      </w:r>
    </w:p>
    <w:p>
      <w:pPr>
        <w:pStyle w:val="KHH1"/>
        <w:keepNext/>
        <w:keepLines/>
      </w:pPr>
      <w:r>
        <w:rPr>
          <w:rFonts w:ascii="Georgia" w:hAnsi="Georgia"/>
          <w:b/>
          <w:color w:val="5C351F"/>
          <w:sz w:val="34"/>
        </w:rPr>
        <w:t>Visual and download brief</w:t>
      </w:r>
    </w:p>
    <w:p>
      <w:pPr>
        <w:spacing w:after="200"/>
        <w:ind w:firstLine="288"/>
      </w:pPr>
      <w:r>
        <w:rPr>
          <w:rFonts w:ascii="Georgia" w:hAnsi="Georgia"/>
          <w:sz w:val="25"/>
        </w:rPr>
        <w:t xml:space="preserve">Suggested visual: a </w:t>
      </w:r>
      <w:r>
        <w:rPr>
          <w:rFonts w:ascii="Georgia" w:hAnsi="Georgia"/>
          <w:b/>
          <w:sz w:val="25"/>
        </w:rPr>
        <w:t>Circularity Readiness Wheel</w:t>
      </w:r>
      <w:r>
        <w:rPr>
          <w:rFonts w:ascii="Georgia" w:hAnsi="Georgia"/>
          <w:sz w:val="25"/>
        </w:rPr>
        <w:t xml:space="preserve"> or six-column matrix showing the dimensions and four scoring bands.</w:t>
      </w:r>
    </w:p>
    <w:p>
      <w:pPr>
        <w:spacing w:after="200"/>
        <w:ind w:firstLine="288"/>
      </w:pPr>
      <w:r>
        <w:rPr>
          <w:rFonts w:ascii="Georgia" w:hAnsi="Georgia"/>
          <w:sz w:val="25"/>
        </w:rPr>
        <w:t xml:space="preserve">Suggested downloadable: a one-page </w:t>
      </w:r>
      <w:r>
        <w:rPr>
          <w:rFonts w:ascii="Georgia" w:hAnsi="Georgia"/>
          <w:b/>
          <w:sz w:val="25"/>
        </w:rPr>
        <w:t>self-assessment worksheet</w:t>
      </w:r>
      <w:r>
        <w:rPr>
          <w:rFonts w:ascii="Georgia" w:hAnsi="Georgia"/>
          <w:sz w:val="25"/>
        </w:rPr>
        <w:t xml:space="preserve"> with evidence prompts, action notes, and a prioritisation column.</w:t>
      </w:r>
    </w:p>
    <w:p>
      <w:pPr>
        <w:pStyle w:val="KHH1"/>
        <w:keepNext/>
        <w:keepLines/>
      </w:pPr>
      <w:r>
        <w:rPr>
          <w:rFonts w:ascii="Georgia" w:hAnsi="Georgia"/>
          <w:b/>
          <w:color w:val="5C351F"/>
          <w:sz w:val="34"/>
        </w:rPr>
        <w:t>Source note</w:t>
      </w:r>
    </w:p>
    <w:p>
      <w:pPr>
        <w:spacing w:after="200"/>
        <w:ind w:firstLine="288"/>
      </w:pPr>
      <w:r>
        <w:rPr>
          <w:rFonts w:ascii="Georgia" w:hAnsi="Georgia"/>
          <w:sz w:val="25"/>
        </w:rPr>
        <w:t>This expanded draft is based on the Rankine Knowledge Hub deep-dive, the published direction of the live Knowledge Hub, and the first-wave content architecture developed for Rankine Innovation Lab. It is written as a website-ready long-form draft that can later be tightened for on-page presentation or adapted into a downloadable asset.</w:t>
      </w:r>
    </w:p>
    <w:sectPr w:rsidR="00FC693F" w:rsidRPr="0006063C" w:rsidSect="00034616">
      <w:head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6E6054"/>
        <w:sz w:val="22"/>
      </w:rPr>
      <w:t>Rankine Knowledge Hub | Circularity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200"/>
    </w:pPr>
    <w:rPr>
      <w:rFonts w:ascii="Georgia" w:hAnsi="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Title"/>
    <w:rPr>
      <w:rFonts w:ascii="Georgia" w:hAnsi="Georgia"/>
      <w:b/>
      <w:color w:val="5C351F"/>
      <w:sz w:val="52"/>
    </w:rPr>
  </w:style>
  <w:style w:type="paragraph" w:customStyle="1" w:styleId="KHSubtitle">
    <w:name w:val="KH Subtitle"/>
    <w:basedOn w:val="Normal"/>
    <w:rPr>
      <w:rFonts w:ascii="Georgia" w:hAnsi="Georgia"/>
      <w:b w:val="0"/>
      <w:color w:val="6E6054"/>
      <w:sz w:val="30"/>
    </w:rPr>
  </w:style>
  <w:style w:type="paragraph" w:customStyle="1" w:styleId="KHH1">
    <w:name w:val="KH H1"/>
    <w:basedOn w:val="Heading1"/>
    <w:pPr>
      <w:spacing w:before="240" w:after="120"/>
    </w:pPr>
    <w:rPr>
      <w:rFonts w:ascii="Georgia" w:hAnsi="Georgia"/>
      <w:b/>
      <w:color w:val="5C351F"/>
      <w:sz w:val="34"/>
    </w:rPr>
  </w:style>
  <w:style w:type="paragraph" w:customStyle="1" w:styleId="KHH2">
    <w:name w:val="KH H2"/>
    <w:basedOn w:val="Heading2"/>
    <w:pPr>
      <w:spacing w:before="160" w:after="80"/>
    </w:pPr>
    <w:rPr>
      <w:rFonts w:ascii="Georgia" w:hAnsi="Georgia"/>
      <w:b/>
      <w:color w:val="5C351F"/>
      <w:sz w:val="29"/>
    </w:rPr>
  </w:style>
  <w:style w:type="paragraph" w:customStyle="1" w:styleId="KHSmall">
    <w:name w:val="KH Small"/>
    <w:basedOn w:val="Normal"/>
    <w:rPr>
      <w:rFonts w:ascii="Georgia" w:hAnsi="Georgia"/>
      <w:b w:val="0"/>
      <w:color w:val="6E60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