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HTitle"/>
        <w:spacing w:after="120"/>
        <w:pBdr>
          <w:bottom w:val="single" w:sz="10" w:space="1" w:color="4E79C1"/>
        </w:pBdr>
      </w:pPr>
      <w:r>
        <w:rPr>
          <w:rFonts w:ascii="Georgia" w:hAnsi="Georgia"/>
          <w:b/>
          <w:color w:val="5C351F"/>
          <w:sz w:val="52"/>
        </w:rPr>
        <w:t>How to Design a Low-Cost Environmental Monitoring Pilot</w:t>
      </w:r>
    </w:p>
    <w:p>
      <w:pPr>
        <w:pStyle w:val="KHSubtitle"/>
        <w:spacing w:after="360"/>
      </w:pPr>
      <w:r>
        <w:rPr>
          <w:rFonts w:ascii="Georgia" w:hAnsi="Georgia"/>
          <w:i/>
          <w:color w:val="6E6054"/>
          <w:sz w:val="29"/>
        </w:rPr>
        <w:t>Expanded draft | Playbook | Domain: Smart Agriculture &amp; Food Security</w:t>
      </w:r>
    </w:p>
    <w:tbl>
      <w:tblPr>
        <w:tblW w:type="auto" w:w="0"/>
        <w:jc w:val="center"/>
        <w:tblLook w:firstColumn="1" w:firstRow="1" w:lastColumn="0" w:lastRow="0" w:noHBand="0" w:noVBand="1" w:val="04A0"/>
      </w:tblPr>
      <w:tblGrid>
        <w:gridCol w:w="4896"/>
        <w:gridCol w:w="4896"/>
      </w:tblGrid>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Primary type</w:t>
            </w:r>
          </w:p>
        </w:tc>
        <w:tc>
          <w:tcPr>
            <w:tcW w:type="dxa" w:w="7488"/>
            <w:vAlign w:val="center"/>
            <w:tcMar>
              <w:top w:w="90" w:type="dxa"/>
              <w:start w:w="110" w:type="dxa"/>
              <w:bottom w:w="90" w:type="dxa"/>
              <w:end w:w="110" w:type="dxa"/>
            </w:tcMar>
          </w:tcPr>
          <w:p>
            <w:pPr>
              <w:spacing w:after="0"/>
            </w:pPr>
            <w:r>
              <w:rPr>
                <w:rFonts w:ascii="Georgia" w:hAnsi="Georgia"/>
                <w:sz w:val="24"/>
              </w:rPr>
              <w:t>Playbook</w:t>
            </w:r>
          </w:p>
        </w:tc>
      </w:tr>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Suggested slug</w:t>
            </w:r>
          </w:p>
        </w:tc>
        <w:tc>
          <w:tcPr>
            <w:tcW w:type="dxa" w:w="7488"/>
            <w:vAlign w:val="center"/>
            <w:tcMar>
              <w:top w:w="90" w:type="dxa"/>
              <w:start w:w="110" w:type="dxa"/>
              <w:bottom w:w="90" w:type="dxa"/>
              <w:end w:w="110" w:type="dxa"/>
            </w:tcMar>
          </w:tcPr>
          <w:p>
            <w:pPr>
              <w:spacing w:after="0"/>
            </w:pPr>
            <w:r>
              <w:rPr>
                <w:rFonts w:ascii="Georgia" w:hAnsi="Georgia"/>
                <w:sz w:val="24"/>
              </w:rPr>
              <w:t>/knowledge-hub/playbooks/low-cost-environmental-monitoring-pilot/</w:t>
            </w:r>
          </w:p>
        </w:tc>
      </w:tr>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Recommended media</w:t>
            </w:r>
          </w:p>
        </w:tc>
        <w:tc>
          <w:tcPr>
            <w:tcW w:type="dxa" w:w="7488"/>
            <w:vAlign w:val="center"/>
            <w:tcMar>
              <w:top w:w="90" w:type="dxa"/>
              <w:start w:w="110" w:type="dxa"/>
              <w:bottom w:w="90" w:type="dxa"/>
              <w:end w:w="110" w:type="dxa"/>
            </w:tcMar>
          </w:tcPr>
          <w:p>
            <w:pPr>
              <w:spacing w:after="0"/>
            </w:pPr>
            <w:r>
              <w:rPr>
                <w:rFonts w:ascii="Georgia" w:hAnsi="Georgia"/>
                <w:sz w:val="24"/>
              </w:rPr>
              <w:t>Text + checklist + pilot flow diagram</w:t>
            </w:r>
          </w:p>
        </w:tc>
      </w:tr>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Audience</w:t>
            </w:r>
          </w:p>
        </w:tc>
        <w:tc>
          <w:tcPr>
            <w:tcW w:type="dxa" w:w="7488"/>
            <w:vAlign w:val="center"/>
            <w:tcMar>
              <w:top w:w="90" w:type="dxa"/>
              <w:start w:w="110" w:type="dxa"/>
              <w:bottom w:w="90" w:type="dxa"/>
              <w:end w:w="110" w:type="dxa"/>
            </w:tcMar>
          </w:tcPr>
          <w:p>
            <w:pPr>
              <w:spacing w:after="0"/>
            </w:pPr>
            <w:r>
              <w:rPr>
                <w:rFonts w:ascii="Georgia" w:hAnsi="Georgia"/>
                <w:sz w:val="24"/>
              </w:rPr>
              <w:t>NGOs, labs, field innovators, schools, local institutions, early-stage project teams</w:t>
            </w:r>
          </w:p>
        </w:tc>
      </w:tr>
      <w:tr>
        <w:tc>
          <w:tcPr>
            <w:tcW w:type="dxa" w:w="3168"/>
            <w:vAlign w:val="center"/>
            <w:tcMar>
              <w:top w:w="90" w:type="dxa"/>
              <w:start w:w="110" w:type="dxa"/>
              <w:bottom w:w="90" w:type="dxa"/>
              <w:end w:w="110" w:type="dxa"/>
            </w:tcMar>
            <w:shd w:fill="F5F3EF"/>
          </w:tcPr>
          <w:p>
            <w:pPr>
              <w:spacing w:after="0"/>
            </w:pPr>
            <w:r>
              <w:rPr>
                <w:rFonts w:ascii="Georgia" w:hAnsi="Georgia"/>
                <w:b/>
                <w:color w:val="5C351F"/>
                <w:sz w:val="24"/>
              </w:rPr>
              <w:t>Related pieces</w:t>
            </w:r>
          </w:p>
        </w:tc>
        <w:tc>
          <w:tcPr>
            <w:tcW w:type="dxa" w:w="7488"/>
            <w:vAlign w:val="center"/>
            <w:tcMar>
              <w:top w:w="90" w:type="dxa"/>
              <w:start w:w="110" w:type="dxa"/>
              <w:bottom w:w="90" w:type="dxa"/>
              <w:end w:w="110" w:type="dxa"/>
            </w:tcMar>
          </w:tcPr>
          <w:p>
            <w:pPr>
              <w:spacing w:after="0"/>
            </w:pPr>
            <w:r>
              <w:rPr>
                <w:rFonts w:ascii="Georgia" w:hAnsi="Georgia"/>
                <w:sz w:val="24"/>
              </w:rPr>
              <w:t>Water Intelligence Is Becoming a Strategic Capability; Climate-Smart Agriculture; Smart-System Ambition vs Data Reality</w:t>
            </w:r>
          </w:p>
        </w:tc>
      </w:tr>
    </w:tbl>
    <w:p/>
    <w:p>
      <w:pPr>
        <w:pStyle w:val="KHH1"/>
        <w:keepNext/>
        <w:keepLines/>
      </w:pPr>
      <w:r>
        <w:rPr>
          <w:rFonts w:ascii="Georgia" w:hAnsi="Georgia"/>
          <w:b/>
          <w:color w:val="5C351F"/>
          <w:sz w:val="34"/>
        </w:rPr>
        <w:t>When to use this playbook</w:t>
      </w:r>
    </w:p>
    <w:p>
      <w:pPr>
        <w:spacing w:after="200"/>
        <w:ind w:firstLine="288"/>
      </w:pPr>
      <w:r>
        <w:rPr>
          <w:rFonts w:ascii="Georgia" w:hAnsi="Georgia"/>
          <w:sz w:val="25"/>
        </w:rPr>
        <w:t>Use this playbook when you know a monitoring problem is real but you are not ready to build a full platform. That could include observing water-level change, simple water-quality patterns, soil moisture, rainfall, flood-related conditions, local heat stress, or restoration indicators.</w:t>
      </w:r>
    </w:p>
    <w:p>
      <w:pPr>
        <w:spacing w:after="200"/>
        <w:ind w:firstLine="288"/>
      </w:pPr>
      <w:r>
        <w:rPr>
          <w:rFonts w:ascii="Georgia" w:hAnsi="Georgia"/>
          <w:sz w:val="25"/>
        </w:rPr>
        <w:t>A pilot is useful when the goal is to reduce uncertainty, test feasibility, and learn what matters before scaling. It is not useful when the team is only trying to accumulate devices or prove that it is innovative.</w:t>
      </w:r>
    </w:p>
    <w:p>
      <w:pPr>
        <w:pStyle w:val="KHH1"/>
        <w:keepNext/>
        <w:keepLines/>
      </w:pPr>
      <w:r>
        <w:rPr>
          <w:rFonts w:ascii="Georgia" w:hAnsi="Georgia"/>
          <w:b/>
          <w:color w:val="5C351F"/>
          <w:sz w:val="34"/>
        </w:rPr>
        <w:t>What this playbook is trying to prevent</w:t>
      </w:r>
    </w:p>
    <w:p>
      <w:pPr>
        <w:spacing w:after="200"/>
        <w:ind w:firstLine="288"/>
      </w:pPr>
      <w:r>
        <w:rPr>
          <w:rFonts w:ascii="Georgia" w:hAnsi="Georgia"/>
          <w:sz w:val="25"/>
        </w:rPr>
        <w:t>Low-cost pilots often fail in predictable ways. Teams buy tools before defining the decision. They collect data that nobody uses. They underestimate maintenance. They treat a pilot like a miniature production system instead of a learning instrument.</w:t>
      </w:r>
    </w:p>
    <w:p>
      <w:pPr>
        <w:spacing w:after="200"/>
        <w:ind w:firstLine="288"/>
      </w:pPr>
      <w:r>
        <w:rPr>
          <w:rFonts w:ascii="Georgia" w:hAnsi="Georgia"/>
          <w:sz w:val="25"/>
        </w:rPr>
        <w:t>This playbook is designed to avoid those traps by forcing clarity around problem definition, variables, ownership, review cycles, and success criteria.</w:t>
      </w:r>
    </w:p>
    <w:p>
      <w:pPr>
        <w:pStyle w:val="KHH1"/>
        <w:keepNext/>
        <w:keepLines/>
      </w:pPr>
      <w:r>
        <w:rPr>
          <w:rFonts w:ascii="Georgia" w:hAnsi="Georgia"/>
          <w:b/>
          <w:color w:val="5C351F"/>
          <w:sz w:val="34"/>
        </w:rPr>
        <w:t>Step 1. Define the decision, not the gadget</w:t>
      </w:r>
    </w:p>
    <w:p>
      <w:pPr>
        <w:spacing w:after="200"/>
        <w:ind w:firstLine="288"/>
      </w:pPr>
      <w:r>
        <w:rPr>
          <w:rFonts w:ascii="Georgia" w:hAnsi="Georgia"/>
          <w:sz w:val="25"/>
        </w:rPr>
        <w:t>Start with the exact decision you want to improve. Examples include: deciding when to inspect a borehole pump, when to trigger irrigation review, when to investigate abnormal water loss, or whether a restoration site is retaining moisture differently over time.</w:t>
      </w:r>
    </w:p>
    <w:p>
      <w:pPr>
        <w:spacing w:after="200"/>
        <w:ind w:firstLine="288"/>
      </w:pPr>
      <w:r>
        <w:rPr>
          <w:rFonts w:ascii="Georgia" w:hAnsi="Georgia"/>
          <w:sz w:val="25"/>
        </w:rPr>
        <w:t>A pilot built around a vague theme such as 'smart monitoring' will usually sprawl. A pilot built around one decision has a much better chance of producing useful evidence.</w:t>
      </w:r>
    </w:p>
    <w:p>
      <w:pPr>
        <w:pStyle w:val="KHH1"/>
        <w:keepNext/>
        <w:keepLines/>
      </w:pPr>
      <w:r>
        <w:rPr>
          <w:rFonts w:ascii="Georgia" w:hAnsi="Georgia"/>
          <w:b/>
          <w:color w:val="5C351F"/>
          <w:sz w:val="34"/>
        </w:rPr>
        <w:t>Step 2. Choose the minimum meaningful variable set</w:t>
      </w:r>
    </w:p>
    <w:p>
      <w:pPr>
        <w:spacing w:after="200"/>
        <w:ind w:firstLine="288"/>
      </w:pPr>
      <w:r>
        <w:rPr>
          <w:rFonts w:ascii="Georgia" w:hAnsi="Georgia"/>
          <w:sz w:val="25"/>
        </w:rPr>
        <w:t>Select only the variables that are directly linked to that decision. This is where discipline matters. If the decision concerns supply reliability, then water level, pump runtime, flow pattern, and interruption logs may matter more than an elaborate bundle of unrelated metrics. If the decision concerns field moisture stress, then soil moisture, rainfall, and temperature may matter more than a large multi-sensor suite.</w:t>
      </w:r>
    </w:p>
    <w:p>
      <w:pPr>
        <w:spacing w:after="200"/>
        <w:ind w:firstLine="288"/>
      </w:pPr>
      <w:r>
        <w:rPr>
          <w:rFonts w:ascii="Georgia" w:hAnsi="Georgia"/>
          <w:sz w:val="25"/>
        </w:rPr>
        <w:t>The rule is simple: start with the smallest variable set that can still answer the pilot question credibly.</w:t>
      </w:r>
    </w:p>
    <w:p>
      <w:pPr>
        <w:pStyle w:val="KHH1"/>
        <w:keepNext/>
        <w:keepLines/>
      </w:pPr>
      <w:r>
        <w:rPr>
          <w:rFonts w:ascii="Georgia" w:hAnsi="Georgia"/>
          <w:b/>
          <w:color w:val="5C351F"/>
          <w:sz w:val="34"/>
        </w:rPr>
        <w:t>Step 3. Match the observation method to context</w:t>
      </w:r>
    </w:p>
    <w:p>
      <w:pPr>
        <w:spacing w:after="200"/>
        <w:ind w:firstLine="288"/>
      </w:pPr>
      <w:r>
        <w:rPr>
          <w:rFonts w:ascii="Georgia" w:hAnsi="Georgia"/>
          <w:sz w:val="25"/>
        </w:rPr>
        <w:t>There is no universal best tool. Some contexts support lightweight IoT sensors. Others are better served by manual observation forms, remote imagery, simple data loggers, or periodic field checks. The right method depends on cost, power availability, maintenance capacity, connectivity, theft risk, and the skill of the people who will operate the system.</w:t>
      </w:r>
    </w:p>
    <w:p>
      <w:pPr>
        <w:spacing w:after="200"/>
        <w:ind w:firstLine="288"/>
      </w:pPr>
      <w:r>
        <w:rPr>
          <w:rFonts w:ascii="Georgia" w:hAnsi="Georgia"/>
          <w:sz w:val="25"/>
        </w:rPr>
        <w:t>A strong pilot respects the operating environment. A cheap tool that cannot be maintained is not low-cost in practice.</w:t>
      </w:r>
    </w:p>
    <w:p>
      <w:pPr>
        <w:pStyle w:val="KHH1"/>
        <w:keepNext/>
        <w:keepLines/>
      </w:pPr>
      <w:r>
        <w:rPr>
          <w:rFonts w:ascii="Georgia" w:hAnsi="Georgia"/>
          <w:b/>
          <w:color w:val="5C351F"/>
          <w:sz w:val="34"/>
        </w:rPr>
        <w:t>Step 4. Define the data pathway</w:t>
      </w:r>
    </w:p>
    <w:p>
      <w:pPr>
        <w:spacing w:after="200"/>
        <w:ind w:firstLine="288"/>
      </w:pPr>
      <w:r>
        <w:rPr>
          <w:rFonts w:ascii="Georgia" w:hAnsi="Georgia"/>
          <w:sz w:val="25"/>
        </w:rPr>
        <w:t>Before any device or spreadsheet is deployed, define where the data will go, who will see it, how often it will be reviewed, and what counts as a signal. This can be simple. For early pilots, a shared spreadsheet with weekly review rules may be enough. What matters is the decision pathway, not sophistication.</w:t>
      </w:r>
    </w:p>
    <w:p>
      <w:pPr>
        <w:spacing w:after="200"/>
        <w:ind w:firstLine="288"/>
      </w:pPr>
      <w:r>
        <w:rPr>
          <w:rFonts w:ascii="Georgia" w:hAnsi="Georgia"/>
          <w:sz w:val="25"/>
        </w:rPr>
        <w:t>At this stage, also define naming conventions, timestamp standards, and location references. Small pilots often break because the data are gathered but not organised.</w:t>
      </w:r>
    </w:p>
    <w:p>
      <w:pPr>
        <w:pStyle w:val="KHH1"/>
        <w:keepNext/>
        <w:keepLines/>
      </w:pPr>
      <w:r>
        <w:rPr>
          <w:rFonts w:ascii="Georgia" w:hAnsi="Georgia"/>
          <w:b/>
          <w:color w:val="5C351F"/>
          <w:sz w:val="34"/>
        </w:rPr>
        <w:t>Step 5. Set clear review and response rules</w:t>
      </w:r>
    </w:p>
    <w:p>
      <w:pPr>
        <w:spacing w:after="200"/>
        <w:ind w:firstLine="288"/>
      </w:pPr>
      <w:r>
        <w:rPr>
          <w:rFonts w:ascii="Georgia" w:hAnsi="Georgia"/>
          <w:sz w:val="25"/>
        </w:rPr>
        <w:t>A pilot should produce action thresholds, not just records. Decide what pattern, value, or anomaly will trigger review. Decide who receives that signal. Decide what first response should look like. That may be a site visit, a maintenance check, a validation test, or simply a flagged discussion.</w:t>
      </w:r>
    </w:p>
    <w:p>
      <w:pPr>
        <w:spacing w:after="200"/>
        <w:ind w:firstLine="288"/>
      </w:pPr>
      <w:r>
        <w:rPr>
          <w:rFonts w:ascii="Georgia" w:hAnsi="Georgia"/>
          <w:sz w:val="25"/>
        </w:rPr>
        <w:t>If the pilot cannot say what will happen when a meaningful signal appears, it is not yet operationally useful.</w:t>
      </w:r>
    </w:p>
    <w:p>
      <w:pPr>
        <w:pStyle w:val="KHH1"/>
        <w:keepNext/>
        <w:keepLines/>
      </w:pPr>
      <w:r>
        <w:rPr>
          <w:rFonts w:ascii="Georgia" w:hAnsi="Georgia"/>
          <w:b/>
          <w:color w:val="5C351F"/>
          <w:sz w:val="34"/>
        </w:rPr>
        <w:t>Step 6. Plan for maintenance and failure</w:t>
      </w:r>
    </w:p>
    <w:p>
      <w:pPr>
        <w:spacing w:after="200"/>
        <w:ind w:firstLine="288"/>
      </w:pPr>
      <w:r>
        <w:rPr>
          <w:rFonts w:ascii="Georgia" w:hAnsi="Georgia"/>
          <w:sz w:val="25"/>
        </w:rPr>
        <w:t>Every pilot needs a simple reliability plan. Who checks battery life, calibration, or data gaps? What happens when data stop arriving? How often will the team verify that the tool is measuring what it is supposed to measure?</w:t>
      </w:r>
    </w:p>
    <w:p>
      <w:pPr>
        <w:spacing w:after="200"/>
        <w:ind w:firstLine="288"/>
      </w:pPr>
      <w:r>
        <w:rPr>
          <w:rFonts w:ascii="Georgia" w:hAnsi="Georgia"/>
          <w:sz w:val="25"/>
        </w:rPr>
        <w:t>This is where many pilots quietly collapse. The problem is not the concept. The problem is the missing maintenance workflow.</w:t>
      </w:r>
    </w:p>
    <w:p>
      <w:pPr>
        <w:pStyle w:val="KHH1"/>
        <w:keepNext/>
        <w:keepLines/>
      </w:pPr>
      <w:r>
        <w:rPr>
          <w:rFonts w:ascii="Georgia" w:hAnsi="Georgia"/>
          <w:b/>
          <w:color w:val="5C351F"/>
          <w:sz w:val="34"/>
        </w:rPr>
        <w:t>Step 7. Define success before the pilot starts</w:t>
      </w:r>
    </w:p>
    <w:p>
      <w:pPr>
        <w:spacing w:after="200"/>
        <w:ind w:firstLine="288"/>
      </w:pPr>
      <w:r>
        <w:rPr>
          <w:rFonts w:ascii="Georgia" w:hAnsi="Georgia"/>
          <w:sz w:val="25"/>
        </w:rPr>
        <w:t>Success should not be defined as 'the technology worked'. A better success test asks whether the pilot improved decision quality. Did it help the team detect something earlier? Did it reduce blind spots? Did it clarify whether scale-up is justified? Did it reveal that the chosen variable or method was wrong?</w:t>
      </w:r>
    </w:p>
    <w:p>
      <w:pPr>
        <w:spacing w:after="200"/>
        <w:ind w:firstLine="288"/>
      </w:pPr>
      <w:r>
        <w:rPr>
          <w:rFonts w:ascii="Georgia" w:hAnsi="Georgia"/>
          <w:sz w:val="25"/>
        </w:rPr>
        <w:t>Negative results can still make a pilot successful if they prevent a larger and more expensive mistake.</w:t>
      </w:r>
    </w:p>
    <w:p>
      <w:pPr>
        <w:pStyle w:val="KHH1"/>
        <w:keepNext/>
        <w:keepLines/>
      </w:pPr>
      <w:r>
        <w:rPr>
          <w:rFonts w:ascii="Georgia" w:hAnsi="Georgia"/>
          <w:b/>
          <w:color w:val="5C351F"/>
          <w:sz w:val="34"/>
        </w:rPr>
        <w:t>Step 8. Close with a scale or stop decision</w:t>
      </w:r>
    </w:p>
    <w:p>
      <w:pPr>
        <w:spacing w:after="200"/>
        <w:ind w:firstLine="288"/>
      </w:pPr>
      <w:r>
        <w:rPr>
          <w:rFonts w:ascii="Georgia" w:hAnsi="Georgia"/>
          <w:sz w:val="25"/>
        </w:rPr>
        <w:t>At the end of the pilot, classify the result honestly. Some pilots should be scaled. Some should be redesigned. Some should be stopped. The purpose of a pilot is learning under controlled exposure, not permanent justification of the original idea.</w:t>
      </w:r>
    </w:p>
    <w:p>
      <w:pPr>
        <w:spacing w:after="200"/>
        <w:ind w:firstLine="288"/>
      </w:pPr>
      <w:r>
        <w:rPr>
          <w:rFonts w:ascii="Georgia" w:hAnsi="Georgia"/>
          <w:sz w:val="25"/>
        </w:rPr>
        <w:t>A good close-out note should capture: the question, the variable set, the method, what worked, what failed, what remains uncertain, and the recommended next move.</w:t>
      </w:r>
    </w:p>
    <w:p>
      <w:pPr>
        <w:pStyle w:val="KHH1"/>
        <w:keepNext/>
        <w:keepLines/>
      </w:pPr>
      <w:r>
        <w:rPr>
          <w:rFonts w:ascii="Georgia" w:hAnsi="Georgia"/>
          <w:b/>
          <w:color w:val="5C351F"/>
          <w:sz w:val="34"/>
        </w:rPr>
        <w:t>Validation checklist</w:t>
      </w:r>
    </w:p>
    <w:p>
      <w:pPr>
        <w:spacing w:after="200"/>
        <w:ind w:firstLine="288"/>
      </w:pPr>
      <w:r>
        <w:rPr>
          <w:rFonts w:ascii="Georgia" w:hAnsi="Georgia"/>
          <w:sz w:val="25"/>
        </w:rPr>
        <w:t xml:space="preserve">Before closing the design, ask six questions: </w:t>
      </w:r>
      <w:r>
        <w:rPr>
          <w:rFonts w:ascii="Georgia" w:hAnsi="Georgia"/>
          <w:b/>
          <w:sz w:val="25"/>
        </w:rPr>
        <w:t>Is the decision clear? Are the variables minimal but sufficient? Is the data pathway defined? Are response rules explicit? Is maintenance owned? Is success measurable?</w:t>
      </w:r>
      <w:r>
        <w:rPr>
          <w:rFonts w:ascii="Georgia" w:hAnsi="Georgia"/>
          <w:sz w:val="25"/>
        </w:rPr>
        <w:t xml:space="preserve"> If any answer is weak, refine the pilot before deployment.</w:t>
      </w:r>
    </w:p>
    <w:p>
      <w:pPr>
        <w:pStyle w:val="KHH1"/>
        <w:keepNext/>
        <w:keepLines/>
      </w:pPr>
      <w:r>
        <w:rPr>
          <w:rFonts w:ascii="Georgia" w:hAnsi="Georgia"/>
          <w:b/>
          <w:color w:val="5C351F"/>
          <w:sz w:val="34"/>
        </w:rPr>
        <w:t>Visual and download brief</w:t>
      </w:r>
    </w:p>
    <w:p>
      <w:pPr>
        <w:spacing w:after="200"/>
        <w:ind w:firstLine="288"/>
      </w:pPr>
      <w:r>
        <w:rPr>
          <w:rFonts w:ascii="Georgia" w:hAnsi="Georgia"/>
          <w:sz w:val="25"/>
        </w:rPr>
        <w:t xml:space="preserve">Suggested visual: a </w:t>
      </w:r>
      <w:r>
        <w:rPr>
          <w:rFonts w:ascii="Georgia" w:hAnsi="Georgia"/>
          <w:b/>
          <w:sz w:val="25"/>
        </w:rPr>
        <w:t>pilot design flowchart</w:t>
      </w:r>
      <w:r>
        <w:rPr>
          <w:rFonts w:ascii="Georgia" w:hAnsi="Georgia"/>
          <w:sz w:val="25"/>
        </w:rPr>
        <w:t xml:space="preserve"> showing problem → variables → method → data pathway → review rules → maintenance → success test → scale/stop decision.</w:t>
      </w:r>
    </w:p>
    <w:p>
      <w:pPr>
        <w:spacing w:after="200"/>
        <w:ind w:firstLine="288"/>
      </w:pPr>
      <w:r>
        <w:rPr>
          <w:rFonts w:ascii="Georgia" w:hAnsi="Georgia"/>
          <w:sz w:val="25"/>
        </w:rPr>
        <w:t xml:space="preserve">Suggested downloadable: a one-page </w:t>
      </w:r>
      <w:r>
        <w:rPr>
          <w:rFonts w:ascii="Georgia" w:hAnsi="Georgia"/>
          <w:b/>
          <w:sz w:val="25"/>
        </w:rPr>
        <w:t>pilot planning checklist</w:t>
      </w:r>
      <w:r>
        <w:rPr>
          <w:rFonts w:ascii="Georgia" w:hAnsi="Georgia"/>
          <w:sz w:val="25"/>
        </w:rPr>
        <w:t xml:space="preserve"> plus a simple field data sheet template.</w:t>
      </w:r>
    </w:p>
    <w:p>
      <w:pPr>
        <w:pStyle w:val="KHH1"/>
        <w:keepNext/>
        <w:keepLines/>
      </w:pPr>
      <w:r>
        <w:rPr>
          <w:rFonts w:ascii="Georgia" w:hAnsi="Georgia"/>
          <w:b/>
          <w:color w:val="5C351F"/>
          <w:sz w:val="34"/>
        </w:rPr>
        <w:t>Source note</w:t>
      </w:r>
    </w:p>
    <w:p>
      <w:pPr>
        <w:spacing w:after="200"/>
        <w:ind w:firstLine="288"/>
      </w:pPr>
      <w:r>
        <w:rPr>
          <w:rFonts w:ascii="Georgia" w:hAnsi="Georgia"/>
          <w:sz w:val="25"/>
        </w:rPr>
        <w:t>This expanded draft is based on the Rankine Knowledge Hub deep-dive, the published direction of the live Knowledge Hub, and the first-wave content architecture developed for Rankine Innovation Lab. It is written as a website-ready long-form draft that can later be tightened for on-page presentation or adapted into a downloadable asset.</w:t>
      </w:r>
    </w:p>
    <w:sectPr w:rsidR="00FC693F" w:rsidRPr="0006063C" w:rsidSect="00034616">
      <w:head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6E6054"/>
        <w:sz w:val="22"/>
      </w:rPr>
      <w:t>Rankine Knowledge Hub | Monitoring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200"/>
    </w:pPr>
    <w:rPr>
      <w:rFonts w:ascii="Georgia" w:hAnsi="Georgia"/>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HTitle">
    <w:name w:val="KH Title"/>
    <w:basedOn w:val="Title"/>
    <w:rPr>
      <w:rFonts w:ascii="Georgia" w:hAnsi="Georgia"/>
      <w:b/>
      <w:color w:val="5C351F"/>
      <w:sz w:val="52"/>
    </w:rPr>
  </w:style>
  <w:style w:type="paragraph" w:customStyle="1" w:styleId="KHSubtitle">
    <w:name w:val="KH Subtitle"/>
    <w:basedOn w:val="Normal"/>
    <w:rPr>
      <w:rFonts w:ascii="Georgia" w:hAnsi="Georgia"/>
      <w:b w:val="0"/>
      <w:color w:val="6E6054"/>
      <w:sz w:val="30"/>
    </w:rPr>
  </w:style>
  <w:style w:type="paragraph" w:customStyle="1" w:styleId="KHH1">
    <w:name w:val="KH H1"/>
    <w:basedOn w:val="Heading1"/>
    <w:pPr>
      <w:spacing w:before="240" w:after="120"/>
    </w:pPr>
    <w:rPr>
      <w:rFonts w:ascii="Georgia" w:hAnsi="Georgia"/>
      <w:b/>
      <w:color w:val="5C351F"/>
      <w:sz w:val="34"/>
    </w:rPr>
  </w:style>
  <w:style w:type="paragraph" w:customStyle="1" w:styleId="KHH2">
    <w:name w:val="KH H2"/>
    <w:basedOn w:val="Heading2"/>
    <w:pPr>
      <w:spacing w:before="160" w:after="80"/>
    </w:pPr>
    <w:rPr>
      <w:rFonts w:ascii="Georgia" w:hAnsi="Georgia"/>
      <w:b/>
      <w:color w:val="5C351F"/>
      <w:sz w:val="29"/>
    </w:rPr>
  </w:style>
  <w:style w:type="paragraph" w:customStyle="1" w:styleId="KHSmall">
    <w:name w:val="KH Small"/>
    <w:basedOn w:val="Normal"/>
    <w:rPr>
      <w:rFonts w:ascii="Georgia" w:hAnsi="Georgia"/>
      <w:b w:val="0"/>
      <w:color w:val="6E605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