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spacing w:after="120"/>
        <w:pBdr>
          <w:bottom w:val="single" w:sz="10" w:space="1" w:color="4E79C1"/>
        </w:pBdr>
      </w:pPr>
      <w:r>
        <w:rPr>
          <w:rFonts w:ascii="Georgia" w:hAnsi="Georgia"/>
          <w:b/>
          <w:color w:val="5C351F"/>
          <w:sz w:val="52"/>
        </w:rPr>
        <w:t>Where Smart-System Ambition Collides with Data Reality</w:t>
      </w:r>
    </w:p>
    <w:p>
      <w:pPr>
        <w:pStyle w:val="KHSubtitle"/>
        <w:spacing w:after="360"/>
      </w:pPr>
      <w:r>
        <w:rPr>
          <w:rFonts w:ascii="Georgia" w:hAnsi="Georgia"/>
          <w:i/>
          <w:color w:val="6E6054"/>
          <w:sz w:val="29"/>
        </w:rPr>
        <w:t>Expanded draft | Lab Note | Domain: Smart Agriculture &amp; Food Security</w:t>
      </w:r>
    </w:p>
    <w:tbl>
      <w:tblPr>
        <w:tblW w:type="auto" w:w="0"/>
        <w:jc w:val="center"/>
        <w:tblLook w:firstColumn="1" w:firstRow="1" w:lastColumn="0" w:lastRow="0" w:noHBand="0" w:noVBand="1" w:val="04A0"/>
      </w:tblPr>
      <w:tblGrid>
        <w:gridCol w:w="4896"/>
        <w:gridCol w:w="4896"/>
      </w:tblGrid>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Primary type</w:t>
            </w:r>
          </w:p>
        </w:tc>
        <w:tc>
          <w:tcPr>
            <w:tcW w:type="dxa" w:w="7488"/>
            <w:vAlign w:val="center"/>
            <w:tcMar>
              <w:top w:w="90" w:type="dxa"/>
              <w:start w:w="110" w:type="dxa"/>
              <w:bottom w:w="90" w:type="dxa"/>
              <w:end w:w="110" w:type="dxa"/>
            </w:tcMar>
          </w:tcPr>
          <w:p>
            <w:pPr>
              <w:spacing w:after="0"/>
            </w:pPr>
            <w:r>
              <w:rPr>
                <w:rFonts w:ascii="Georgia" w:hAnsi="Georgia"/>
                <w:sz w:val="24"/>
              </w:rPr>
              <w:t>Lab Note</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Suggested slug</w:t>
            </w:r>
          </w:p>
        </w:tc>
        <w:tc>
          <w:tcPr>
            <w:tcW w:type="dxa" w:w="7488"/>
            <w:vAlign w:val="center"/>
            <w:tcMar>
              <w:top w:w="90" w:type="dxa"/>
              <w:start w:w="110" w:type="dxa"/>
              <w:bottom w:w="90" w:type="dxa"/>
              <w:end w:w="110" w:type="dxa"/>
            </w:tcMar>
          </w:tcPr>
          <w:p>
            <w:pPr>
              <w:spacing w:after="0"/>
            </w:pPr>
            <w:r>
              <w:rPr>
                <w:rFonts w:ascii="Georgia" w:hAnsi="Georgia"/>
                <w:sz w:val="24"/>
              </w:rPr>
              <w:t>/knowledge-hub/lab-notes/smart-system-ambition-data-reality/</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Recommended media</w:t>
            </w:r>
          </w:p>
        </w:tc>
        <w:tc>
          <w:tcPr>
            <w:tcW w:type="dxa" w:w="7488"/>
            <w:vAlign w:val="center"/>
            <w:tcMar>
              <w:top w:w="90" w:type="dxa"/>
              <w:start w:w="110" w:type="dxa"/>
              <w:bottom w:w="90" w:type="dxa"/>
              <w:end w:w="110" w:type="dxa"/>
            </w:tcMar>
          </w:tcPr>
          <w:p>
            <w:pPr>
              <w:spacing w:after="0"/>
            </w:pPr>
            <w:r>
              <w:rPr>
                <w:rFonts w:ascii="Georgia" w:hAnsi="Georgia"/>
                <w:sz w:val="24"/>
              </w:rPr>
              <w:t>Short text + mini infographic or carousel</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Audience</w:t>
            </w:r>
          </w:p>
        </w:tc>
        <w:tc>
          <w:tcPr>
            <w:tcW w:type="dxa" w:w="7488"/>
            <w:vAlign w:val="center"/>
            <w:tcMar>
              <w:top w:w="90" w:type="dxa"/>
              <w:start w:w="110" w:type="dxa"/>
              <w:bottom w:w="90" w:type="dxa"/>
              <w:end w:w="110" w:type="dxa"/>
            </w:tcMar>
          </w:tcPr>
          <w:p>
            <w:pPr>
              <w:spacing w:after="0"/>
            </w:pPr>
            <w:r>
              <w:rPr>
                <w:rFonts w:ascii="Georgia" w:hAnsi="Georgia"/>
                <w:sz w:val="24"/>
              </w:rPr>
              <w:t>Innovation strategists, project teams, researchers, programme leads</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Related pieces</w:t>
            </w:r>
          </w:p>
        </w:tc>
        <w:tc>
          <w:tcPr>
            <w:tcW w:type="dxa" w:w="7488"/>
            <w:vAlign w:val="center"/>
            <w:tcMar>
              <w:top w:w="90" w:type="dxa"/>
              <w:start w:w="110" w:type="dxa"/>
              <w:bottom w:w="90" w:type="dxa"/>
              <w:end w:w="110" w:type="dxa"/>
            </w:tcMar>
          </w:tcPr>
          <w:p>
            <w:pPr>
              <w:spacing w:after="0"/>
            </w:pPr>
            <w:r>
              <w:rPr>
                <w:rFonts w:ascii="Georgia" w:hAnsi="Georgia"/>
                <w:sz w:val="24"/>
              </w:rPr>
              <w:t>Low-Cost Environmental Monitoring Pilot; Water Intelligence Maturity Model; Water Intelligence Is Becoming a Strategic Capability</w:t>
            </w:r>
          </w:p>
        </w:tc>
      </w:tr>
    </w:tbl>
    <w:p/>
    <w:p>
      <w:pPr>
        <w:pStyle w:val="KHH1"/>
        <w:keepNext/>
        <w:keepLines/>
      </w:pPr>
      <w:r>
        <w:rPr>
          <w:rFonts w:ascii="Georgia" w:hAnsi="Georgia"/>
          <w:b/>
          <w:color w:val="5C351F"/>
          <w:sz w:val="34"/>
        </w:rPr>
        <w:t>Why this note exists</w:t>
      </w:r>
    </w:p>
    <w:p>
      <w:pPr>
        <w:spacing w:after="200"/>
        <w:ind w:firstLine="288"/>
      </w:pPr>
      <w:r>
        <w:rPr>
          <w:rFonts w:ascii="Georgia" w:hAnsi="Georgia"/>
          <w:sz w:val="25"/>
        </w:rPr>
        <w:t>A recurring pattern appears in smart-system projects across infrastructure, agriculture, and environmental monitoring. The ambition is usually clear. Teams want prediction, optimisation, alerts, transparency, or efficiency. The design language often sounds convincing. What is less convincing is the data reality underneath.</w:t>
      </w:r>
    </w:p>
    <w:p>
      <w:pPr>
        <w:spacing w:after="200"/>
        <w:ind w:firstLine="288"/>
      </w:pPr>
      <w:r>
        <w:rPr>
          <w:rFonts w:ascii="Georgia" w:hAnsi="Georgia"/>
          <w:sz w:val="25"/>
        </w:rPr>
        <w:t>This note exists because many system ideas do not fail at the point of modelling. They fail earlier, in the quieter layers: inconsistent records, missing baselines, unclear ownership, weak maintenance, and data that cannot actually support the claims being made.</w:t>
      </w:r>
    </w:p>
    <w:p>
      <w:pPr>
        <w:pStyle w:val="KHH1"/>
        <w:keepNext/>
        <w:keepLines/>
      </w:pPr>
      <w:r>
        <w:rPr>
          <w:rFonts w:ascii="Georgia" w:hAnsi="Georgia"/>
          <w:b/>
          <w:color w:val="5C351F"/>
          <w:sz w:val="34"/>
        </w:rPr>
        <w:t>The ambition is rarely the real problem</w:t>
      </w:r>
    </w:p>
    <w:p>
      <w:pPr>
        <w:spacing w:after="200"/>
        <w:ind w:firstLine="288"/>
      </w:pPr>
      <w:r>
        <w:rPr>
          <w:rFonts w:ascii="Georgia" w:hAnsi="Georgia"/>
          <w:sz w:val="25"/>
        </w:rPr>
        <w:t>Ambition is not the enemy. In fact, good ambition is often necessary to mobilise support and resources. The problem is when system ambition outruns the evidence conditions that make a system trustworthy. A predictive dashboard may look plausible on paper, but if the underlying observations are sparse, stale, or poorly structured, the dashboard becomes a confidence amplifier rather than a decision aid.</w:t>
      </w:r>
    </w:p>
    <w:p>
      <w:pPr>
        <w:spacing w:after="200"/>
        <w:ind w:firstLine="288"/>
      </w:pPr>
      <w:r>
        <w:rPr>
          <w:rFonts w:ascii="Georgia" w:hAnsi="Georgia"/>
          <w:sz w:val="25"/>
        </w:rPr>
        <w:t>That tension matters because many organisations mistake visible complexity for readiness.</w:t>
      </w:r>
    </w:p>
    <w:p>
      <w:pPr>
        <w:pStyle w:val="KHH1"/>
        <w:keepNext/>
        <w:keepLines/>
      </w:pPr>
      <w:r>
        <w:rPr>
          <w:rFonts w:ascii="Georgia" w:hAnsi="Georgia"/>
          <w:b/>
          <w:color w:val="5C351F"/>
          <w:sz w:val="34"/>
        </w:rPr>
        <w:t>Three data realities that keep appearing</w:t>
      </w:r>
    </w:p>
    <w:p>
      <w:pPr>
        <w:spacing w:after="200"/>
        <w:ind w:firstLine="288"/>
      </w:pPr>
      <w:r>
        <w:rPr>
          <w:rFonts w:ascii="Georgia" w:hAnsi="Georgia"/>
          <w:sz w:val="25"/>
        </w:rPr>
        <w:t xml:space="preserve">The first reality is </w:t>
      </w:r>
      <w:r>
        <w:rPr>
          <w:rFonts w:ascii="Georgia" w:hAnsi="Georgia"/>
          <w:b/>
          <w:sz w:val="25"/>
        </w:rPr>
        <w:t>data scarcity</w:t>
      </w:r>
      <w:r>
        <w:rPr>
          <w:rFonts w:ascii="Georgia" w:hAnsi="Georgia"/>
          <w:sz w:val="25"/>
        </w:rPr>
        <w:t>. Teams may not have enough observations, or the observations may be too irregular to support meaningful pattern detection.</w:t>
      </w:r>
    </w:p>
    <w:p>
      <w:pPr>
        <w:spacing w:after="200"/>
        <w:ind w:firstLine="288"/>
      </w:pPr>
      <w:r>
        <w:rPr>
          <w:rFonts w:ascii="Georgia" w:hAnsi="Georgia"/>
          <w:sz w:val="25"/>
        </w:rPr>
        <w:t xml:space="preserve">The second is </w:t>
      </w:r>
      <w:r>
        <w:rPr>
          <w:rFonts w:ascii="Georgia" w:hAnsi="Georgia"/>
          <w:b/>
          <w:sz w:val="25"/>
        </w:rPr>
        <w:t>data inconsistency</w:t>
      </w:r>
      <w:r>
        <w:rPr>
          <w:rFonts w:ascii="Georgia" w:hAnsi="Georgia"/>
          <w:sz w:val="25"/>
        </w:rPr>
        <w:t>. Variable names, timestamps, locations, and measurement habits often shift over time, which quietly undermines comparison and learning.</w:t>
      </w:r>
    </w:p>
    <w:p>
      <w:pPr>
        <w:spacing w:after="200"/>
        <w:ind w:firstLine="288"/>
      </w:pPr>
      <w:r>
        <w:rPr>
          <w:rFonts w:ascii="Georgia" w:hAnsi="Georgia"/>
          <w:sz w:val="25"/>
        </w:rPr>
        <w:t xml:space="preserve">The third is </w:t>
      </w:r>
      <w:r>
        <w:rPr>
          <w:rFonts w:ascii="Georgia" w:hAnsi="Georgia"/>
          <w:b/>
          <w:sz w:val="25"/>
        </w:rPr>
        <w:t>data detachment from action</w:t>
      </w:r>
      <w:r>
        <w:rPr>
          <w:rFonts w:ascii="Georgia" w:hAnsi="Georgia"/>
          <w:sz w:val="25"/>
        </w:rPr>
        <w:t>. Even when information exists, it may not connect to a clear decision pathway. People collect data because it seems responsible, but they do not define who reads it, when it is reviewed, or what threshold triggers action.</w:t>
      </w:r>
    </w:p>
    <w:p>
      <w:pPr>
        <w:pStyle w:val="KHH1"/>
        <w:keepNext/>
        <w:keepLines/>
      </w:pPr>
      <w:r>
        <w:rPr>
          <w:rFonts w:ascii="Georgia" w:hAnsi="Georgia"/>
          <w:b/>
          <w:color w:val="5C351F"/>
          <w:sz w:val="34"/>
        </w:rPr>
        <w:t>Maintenance is part of the system, not an afterthought</w:t>
      </w:r>
    </w:p>
    <w:p>
      <w:pPr>
        <w:spacing w:after="200"/>
        <w:ind w:firstLine="288"/>
      </w:pPr>
      <w:r>
        <w:rPr>
          <w:rFonts w:ascii="Georgia" w:hAnsi="Georgia"/>
          <w:sz w:val="25"/>
        </w:rPr>
        <w:t>A system is not only sensors, code, or a model. It also includes the maintenance routine that keeps the evidence trustworthy. When maintenance is underdesigned, the system begins to decay almost immediately. Gaps appear. Calibration drifts. Ownership becomes ambiguous. Users stop trusting the outputs.</w:t>
      </w:r>
    </w:p>
    <w:p>
      <w:pPr>
        <w:spacing w:after="200"/>
        <w:ind w:firstLine="288"/>
      </w:pPr>
      <w:r>
        <w:rPr>
          <w:rFonts w:ascii="Georgia" w:hAnsi="Georgia"/>
          <w:sz w:val="25"/>
        </w:rPr>
        <w:t>This is one reason small, disciplined systems often outperform impressive ones. They are easier to maintain, easier to explain, and easier to connect to decisions.</w:t>
      </w:r>
    </w:p>
    <w:p>
      <w:pPr>
        <w:pStyle w:val="KHH1"/>
        <w:keepNext/>
        <w:keepLines/>
      </w:pPr>
      <w:r>
        <w:rPr>
          <w:rFonts w:ascii="Georgia" w:hAnsi="Georgia"/>
          <w:b/>
          <w:color w:val="5C351F"/>
          <w:sz w:val="34"/>
        </w:rPr>
        <w:t>Context is not noise</w:t>
      </w:r>
    </w:p>
    <w:p>
      <w:pPr>
        <w:spacing w:after="200"/>
        <w:ind w:firstLine="288"/>
      </w:pPr>
      <w:r>
        <w:rPr>
          <w:rFonts w:ascii="Georgia" w:hAnsi="Georgia"/>
          <w:sz w:val="25"/>
        </w:rPr>
        <w:t>Smart-system narratives often flatten context. But context changes what a signal means. A missing reading in one location may be trivial; in another, it may indicate a critical failure. A rainfall threshold that matters in one agricultural zone may not translate to another. A maintenance log from one institution may reflect a strong reporting culture, while another may reflect only emergencies.</w:t>
      </w:r>
    </w:p>
    <w:p>
      <w:pPr>
        <w:spacing w:after="200"/>
        <w:ind w:firstLine="288"/>
      </w:pPr>
      <w:r>
        <w:rPr>
          <w:rFonts w:ascii="Georgia" w:hAnsi="Georgia"/>
          <w:sz w:val="25"/>
        </w:rPr>
        <w:t>Good system design treats context as part of the signal environment, not as inconvenience.</w:t>
      </w:r>
    </w:p>
    <w:p>
      <w:pPr>
        <w:pStyle w:val="KHH1"/>
        <w:keepNext/>
        <w:keepLines/>
      </w:pPr>
      <w:r>
        <w:rPr>
          <w:rFonts w:ascii="Georgia" w:hAnsi="Georgia"/>
          <w:b/>
          <w:color w:val="5C351F"/>
          <w:sz w:val="34"/>
        </w:rPr>
        <w:t>What this means in practice</w:t>
      </w:r>
    </w:p>
    <w:p>
      <w:pPr>
        <w:spacing w:after="200"/>
        <w:ind w:firstLine="288"/>
      </w:pPr>
      <w:r>
        <w:rPr>
          <w:rFonts w:ascii="Georgia" w:hAnsi="Georgia"/>
          <w:sz w:val="25"/>
        </w:rPr>
        <w:t xml:space="preserve">Before expanding a smart-system concept, a team should ask: </w:t>
      </w:r>
      <w:r>
        <w:rPr>
          <w:rFonts w:ascii="Georgia" w:hAnsi="Georgia"/>
          <w:b/>
          <w:sz w:val="25"/>
        </w:rPr>
        <w:t>What data are genuinely available? How are they produced? What are their failure modes? What review discipline exists? What assumptions are being made about context?</w:t>
      </w:r>
      <w:r>
        <w:rPr>
          <w:rFonts w:ascii="Georgia" w:hAnsi="Georgia"/>
          <w:sz w:val="25"/>
        </w:rPr>
        <w:t xml:space="preserve"> These questions are less glamorous than product language, but they are often where the fate of the project is decided.</w:t>
      </w:r>
    </w:p>
    <w:p>
      <w:pPr>
        <w:spacing w:after="200"/>
        <w:ind w:firstLine="288"/>
      </w:pPr>
      <w:r>
        <w:rPr>
          <w:rFonts w:ascii="Georgia" w:hAnsi="Georgia"/>
          <w:sz w:val="25"/>
        </w:rPr>
        <w:t>The practical lesson is not to abandon ambition. It is to anchor ambition in observational honesty.</w:t>
      </w:r>
    </w:p>
    <w:p>
      <w:pPr>
        <w:pStyle w:val="KHH1"/>
        <w:keepNext/>
        <w:keepLines/>
      </w:pPr>
      <w:r>
        <w:rPr>
          <w:rFonts w:ascii="Georgia" w:hAnsi="Georgia"/>
          <w:b/>
          <w:color w:val="5C351F"/>
          <w:sz w:val="34"/>
        </w:rPr>
        <w:t>Reporting language you can reuse</w:t>
      </w:r>
    </w:p>
    <w:p>
      <w:pPr>
        <w:spacing w:after="200"/>
        <w:ind w:firstLine="288"/>
      </w:pPr>
      <w:r>
        <w:rPr>
          <w:rFonts w:ascii="Georgia" w:hAnsi="Georgia"/>
          <w:sz w:val="25"/>
        </w:rPr>
        <w:t xml:space="preserve">Useful wording for teams includes: </w:t>
      </w:r>
      <w:r>
        <w:rPr>
          <w:rFonts w:ascii="Georgia" w:hAnsi="Georgia"/>
          <w:b/>
          <w:sz w:val="25"/>
        </w:rPr>
        <w:t>'This system should be treated as decision support, not autonomous judgement.'</w:t>
      </w:r>
      <w:r>
        <w:rPr>
          <w:rFonts w:ascii="Georgia" w:hAnsi="Georgia"/>
          <w:sz w:val="25"/>
        </w:rPr>
        <w:t xml:space="preserve"> </w:t>
      </w:r>
      <w:r>
        <w:rPr>
          <w:rFonts w:ascii="Georgia" w:hAnsi="Georgia"/>
          <w:b/>
          <w:sz w:val="25"/>
        </w:rPr>
        <w:t>'Current outputs are constrained by data quality and maintenance discipline.'</w:t>
      </w:r>
      <w:r>
        <w:rPr>
          <w:rFonts w:ascii="Georgia" w:hAnsi="Georgia"/>
          <w:sz w:val="25"/>
        </w:rPr>
        <w:t xml:space="preserve"> </w:t>
      </w:r>
      <w:r>
        <w:rPr>
          <w:rFonts w:ascii="Georgia" w:hAnsi="Georgia"/>
          <w:b/>
          <w:sz w:val="25"/>
        </w:rPr>
        <w:t>'The pilot reduced uncertainty in some areas but did not yet justify scale.'</w:t>
      </w:r>
    </w:p>
    <w:p>
      <w:pPr>
        <w:spacing w:after="200"/>
        <w:ind w:firstLine="288"/>
      </w:pPr>
      <w:r>
        <w:rPr>
          <w:rFonts w:ascii="Georgia" w:hAnsi="Georgia"/>
          <w:sz w:val="25"/>
        </w:rPr>
        <w:t>That kind of language helps teams stay credible while still making progress.</w:t>
      </w:r>
    </w:p>
    <w:p>
      <w:pPr>
        <w:pStyle w:val="KHH1"/>
        <w:keepNext/>
        <w:keepLines/>
      </w:pPr>
      <w:r>
        <w:rPr>
          <w:rFonts w:ascii="Georgia" w:hAnsi="Georgia"/>
          <w:b/>
          <w:color w:val="5C351F"/>
          <w:sz w:val="34"/>
        </w:rPr>
        <w:t>Visual brief</w:t>
      </w:r>
    </w:p>
    <w:p>
      <w:pPr>
        <w:spacing w:after="200"/>
        <w:ind w:firstLine="288"/>
      </w:pPr>
      <w:r>
        <w:rPr>
          <w:rFonts w:ascii="Georgia" w:hAnsi="Georgia"/>
          <w:sz w:val="25"/>
        </w:rPr>
        <w:t xml:space="preserve">Suggested mini infographic: </w:t>
      </w:r>
      <w:r>
        <w:rPr>
          <w:rFonts w:ascii="Georgia" w:hAnsi="Georgia"/>
          <w:b/>
          <w:sz w:val="25"/>
        </w:rPr>
        <w:t>Ambition vs Reality</w:t>
      </w:r>
      <w:r>
        <w:rPr>
          <w:rFonts w:ascii="Georgia" w:hAnsi="Georgia"/>
          <w:sz w:val="25"/>
        </w:rPr>
        <w:t xml:space="preserve"> with three rows — desired capability, hidden data problem, disciplined response.</w:t>
      </w:r>
    </w:p>
    <w:p>
      <w:pPr>
        <w:pStyle w:val="KHH1"/>
        <w:keepNext/>
        <w:keepLines/>
      </w:pPr>
      <w:r>
        <w:rPr>
          <w:rFonts w:ascii="Georgia" w:hAnsi="Georgia"/>
          <w:b/>
          <w:color w:val="5C351F"/>
          <w:sz w:val="34"/>
        </w:rPr>
        <w:t>Source note</w:t>
      </w:r>
    </w:p>
    <w:p>
      <w:pPr>
        <w:spacing w:after="200"/>
        <w:ind w:firstLine="288"/>
      </w:pPr>
      <w:r>
        <w:rPr>
          <w:rFonts w:ascii="Georgia" w:hAnsi="Georgia"/>
          <w:sz w:val="25"/>
        </w:rPr>
        <w:t>This expanded draft is based on the Rankine Knowledge Hub deep-dive, the published direction of the live Knowledge Hub, and the first-wave content architecture developed for Rankine Innovation Lab. It is written as a website-ready long-form draft that can later be tightened for on-page presentation or adapted into a downloadable asset.</w:t>
      </w:r>
    </w:p>
    <w:sectPr w:rsidR="00FC693F" w:rsidRPr="0006063C" w:rsidSect="00034616">
      <w:head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6E6054"/>
        <w:sz w:val="22"/>
      </w:rPr>
      <w:t>Rankine Knowledge Hub | Data Reality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200"/>
    </w:pPr>
    <w:rPr>
      <w:rFonts w:ascii="Georgia" w:hAnsi="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Title"/>
    <w:rPr>
      <w:rFonts w:ascii="Georgia" w:hAnsi="Georgia"/>
      <w:b/>
      <w:color w:val="5C351F"/>
      <w:sz w:val="52"/>
    </w:rPr>
  </w:style>
  <w:style w:type="paragraph" w:customStyle="1" w:styleId="KHSubtitle">
    <w:name w:val="KH Subtitle"/>
    <w:basedOn w:val="Normal"/>
    <w:rPr>
      <w:rFonts w:ascii="Georgia" w:hAnsi="Georgia"/>
      <w:b w:val="0"/>
      <w:color w:val="6E6054"/>
      <w:sz w:val="30"/>
    </w:rPr>
  </w:style>
  <w:style w:type="paragraph" w:customStyle="1" w:styleId="KHH1">
    <w:name w:val="KH H1"/>
    <w:basedOn w:val="Heading1"/>
    <w:pPr>
      <w:spacing w:before="240" w:after="120"/>
    </w:pPr>
    <w:rPr>
      <w:rFonts w:ascii="Georgia" w:hAnsi="Georgia"/>
      <w:b/>
      <w:color w:val="5C351F"/>
      <w:sz w:val="34"/>
    </w:rPr>
  </w:style>
  <w:style w:type="paragraph" w:customStyle="1" w:styleId="KHH2">
    <w:name w:val="KH H2"/>
    <w:basedOn w:val="Heading2"/>
    <w:pPr>
      <w:spacing w:before="160" w:after="80"/>
    </w:pPr>
    <w:rPr>
      <w:rFonts w:ascii="Georgia" w:hAnsi="Georgia"/>
      <w:b/>
      <w:color w:val="5C351F"/>
      <w:sz w:val="29"/>
    </w:rPr>
  </w:style>
  <w:style w:type="paragraph" w:customStyle="1" w:styleId="KHSmall">
    <w:name w:val="KH Small"/>
    <w:basedOn w:val="Normal"/>
    <w:rPr>
      <w:rFonts w:ascii="Georgia" w:hAnsi="Georgia"/>
      <w:b w:val="0"/>
      <w:color w:val="6E6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