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HTitle"/>
      </w:pPr>
      <w:r>
        <w:t>Why Retrieval-Augmented Generation Matters for Technical Domains</w:t>
      </w:r>
    </w:p>
    <w:p>
      <w:pPr>
        <w:pStyle w:val="KHSubtitle"/>
      </w:pPr>
      <w:r>
        <w:t>Expanded draft | Explainer | Domain: AI for STEM Innovation</w:t>
      </w:r>
    </w:p>
    <w:p/>
    <w:p>
      <w:pPr>
        <w:pStyle w:val="KHH1"/>
      </w:pPr>
      <w:r>
        <w:t>What problem this solves</w:t>
      </w:r>
    </w:p>
    <w:p>
      <w:r>
        <w:t>Generative AI becomes much less trustworthy in technical work when it is asked to answer from pattern memory alone. In engineering, science, operations, and policy-heavy environments, the user often needs answers grounded in specific documents, methods, standards, and internal records. Retrieval-augmented generation, or RAG, matters because it is one of the clearest ways to reduce the gap between fluent language generation and source-grounded decision support.</w:t>
      </w:r>
    </w:p>
    <w:p>
      <w:r>
        <w:t>For Rankine-style work, this matters across several domains at once. AI for STEM programmes need reliable teaching and support tools. Sustainability and infrastructure projects require traceable answers tied to real evidence. Cross-disciplinary teams need a way to search and use technical knowledge without turning every question into a manual literature review. RAG provides a practical pattern for doing that more safely.</w:t>
      </w:r>
    </w:p>
    <w:p>
      <w:pPr>
        <w:pStyle w:val="KHH1"/>
      </w:pPr>
      <w:r>
        <w:t>What RAG actually is</w:t>
      </w:r>
    </w:p>
    <w:p>
      <w:r>
        <w:t>At its core, RAG combines two capabilities: retrieval and generation. Retrieval pulls relevant material from an approved knowledge base. Generation then uses that retrieved context to answer the user in clear language. The important point is that the model is no longer relying only on what it may have memorised during training. It is being supplied with fresh, targeted context at the moment of use.</w:t>
      </w:r>
    </w:p>
    <w:p>
      <w:r>
        <w:t>That architecture matters because technical domains are rarely well served by vague general answers. A maintenance protocol, a contract clause, a laboratory method, or a climate-smart agriculture indicator set all depend on document-level specificity. RAG is useful because it changes the question from “what can the model guess?” to “what can the model say after being given the right evidence?”</w:t>
      </w:r>
    </w:p>
    <w:p>
      <w:pPr>
        <w:pStyle w:val="KHH1"/>
      </w:pPr>
      <w:r>
        <w:t>Why technical domains need retrieval more than casual use cases</w:t>
      </w:r>
    </w:p>
    <w:p>
      <w:r>
        <w:t>In casual writing or brainstorming, a model can often be useful even when precision is not perfect. Technical work is different. A small mistake in a specification summary, a procedure, or a compliance note can create operational, legal, or safety problems. Technical users also care much more about reproducibility. They need to know where an answer came from, which source was used, and whether another reviewer could trace the same answer back to the same evidence.</w:t>
      </w:r>
    </w:p>
    <w:p>
      <w:r>
        <w:t>This is why retrieval becomes more than a nice addition. It becomes part of the safety and quality structure. It allows organisations to define approved document sets, constrain the answer space, and improve the chance that outputs remain aligned with current policies or evidence. It also makes review more realistic because a human can check the cited passages instead of reviewing a polished but context-free paragraph.</w:t>
      </w:r>
    </w:p>
    <w:p>
      <w:pPr>
        <w:pStyle w:val="KHH1"/>
      </w:pPr>
      <w:r>
        <w:t>The core building blocks of a useful RAG system</w:t>
      </w:r>
    </w:p>
    <w:p>
      <w:r>
        <w:t>A practical RAG system usually depends on five building blocks. First is the source corpus: the documents or records that the system is allowed to use. Second is chunking and indexing: the process of splitting documents into retrievable units and representing them for search. Third is retrieval: the logic that selects which chunks are likely to be most relevant to a query. Fourth is prompt orchestration: the instructions and answer pattern used once the retrieved text is supplied. Fifth is evaluation: testing whether the retrieved passages and final answers are accurate, useful, and safe.</w:t>
      </w:r>
    </w:p>
    <w:p>
      <w:r>
        <w:t>Weakness in any of these layers can make the whole system look better than it actually is. Poor chunking can separate critical context from the sentence that gives it meaning. Weak retrieval can surface the wrong documents. A strong prompt cannot rescue consistently bad retrieval. That is why good RAG work is as much about system design as it is about models.</w:t>
      </w:r>
    </w:p>
    <w:p>
      <w:pPr>
        <w:pStyle w:val="KHH1"/>
      </w:pPr>
      <w:r>
        <w:t>What RAG improves in practice</w:t>
      </w:r>
    </w:p>
    <w:p>
      <w:r>
        <w:t>RAG improves several things that matter in applied settings. It improves relevance because answers are tied to a narrower and more intentional evidence base. It improves freshness because the knowledge base can be updated without waiting for a new model release. It improves reviewability because the answer can point back to specific passages. And it improves institutional fit because the organisation can decide which materials are in scope and which are not.</w:t>
      </w:r>
    </w:p>
    <w:p>
      <w:r>
        <w:t>The founder-connected deep-dive for Rankine highlights this applied value directly. In founder-linked work on generative AI in construction, retrieval-grounded use improved a baseline workflow for document querying and reinforced the case for domain-specific implementation rather than generic prompting. That practical logic travels well to other technical settings, including STEM education support, infrastructure documentation, policy notes, and operational knowledge bases.</w:t>
      </w:r>
    </w:p>
    <w:p>
      <w:pPr>
        <w:pStyle w:val="KHH1"/>
      </w:pPr>
      <w:r>
        <w:t>What RAG does not solve</w:t>
      </w:r>
    </w:p>
    <w:p>
      <w:r>
        <w:t>RAG is not a magic credibility layer. If the source corpus is poor, outdated, biased, incomplete, or badly maintained, the answer will still be weak. A system can retrieve the wrong passage. It can over-emphasise a partial clause. It can answer confidently from an irrelevant chunk that merely shares similar keywords. In other words, retrieval reduces one class of failure, but it does not remove the need for governance, evaluation, and human judgment.</w:t>
      </w:r>
    </w:p>
    <w:p>
      <w:r>
        <w:t>RAG also does not automatically solve access control, confidentiality, or prompt injection risks. A team still needs rules for what can be indexed, who can query what, and how the system behaves when it lacks evidence. In high-stakes settings, “I do not have enough evidence to answer that” is often a better output than a synthetic paragraph.</w:t>
      </w:r>
    </w:p>
    <w:p>
      <w:pPr>
        <w:pStyle w:val="KHH1"/>
      </w:pPr>
      <w:r>
        <w:t>When RAG is worth the effort</w:t>
      </w:r>
    </w:p>
    <w:p>
      <w:r>
        <w:t>RAG is worth the effort when three conditions hold. First, the domain depends heavily on document-grounded answers. Second, the organisation has identifiable sources that can be curated and maintained. Third, the expected benefit is more than novelty: the system will save time, support consistency, reduce search burden, or improve knowledge access for real users.</w:t>
      </w:r>
    </w:p>
    <w:p>
      <w:r>
        <w:t>It is usually not worth the effort when the knowledge base is too unstable, when there is no governance around what counts as an approved source, or when the underlying process is still so unclear that automation would only hide confusion. In those cases, process clarification should come before tool building.</w:t>
      </w:r>
    </w:p>
    <w:p>
      <w:pPr>
        <w:pStyle w:val="KHH1"/>
      </w:pPr>
      <w:r>
        <w:t>A simple decision test for teams</w:t>
      </w:r>
    </w:p>
    <w:p>
      <w:r>
        <w:t>A good first test is to ask: are users repeatedly asking questions that should be answerable from a bounded set of trusted documents? If yes, RAG may be a strong fit. A second test is: do users need traceable answers rather than general discussion? If yes, retrieval becomes even more valuable. A third test is: can the organisation maintain the knowledge base as policies, methods, or standards change? If the answer is no, the system may decay quickly.</w:t>
      </w:r>
    </w:p>
    <w:p>
      <w:r>
        <w:t>For Rankine audiences, the strongest early use cases are likely to include teaching support over curated STEM resources, document assistance for research translation, policy or protocol querying, and domain-grounded support for technical teams who need speed without losing traceability.</w:t>
      </w:r>
    </w:p>
    <w:p>
      <w:pPr>
        <w:pStyle w:val="KHH1"/>
      </w:pPr>
      <w:r>
        <w:t>How this connects to Rankine-style work</w:t>
      </w:r>
    </w:p>
    <w:p>
      <w:r>
        <w:t>RAG matters to Rankine not only because it is an AI method, but because it supports the lab’s broader translation mission. Rankine sits at the intersection of research, frameworks, prototypes, and applied partnerships. Retrieval-grounded systems are one of the clearest examples of that pathway in action: research informs the method, frameworks shape the deployment logic, prototypes test the idea, and applied partnerships determine whether the system is genuinely useful in context.</w:t>
      </w:r>
    </w:p>
    <w:p>
      <w:r>
        <w:t>Seen that way, RAG is not just a technical pattern. It is a discipline for turning scattered knowledge into decision support with stronger boundaries, better traceability, and more realistic institutional value.</w:t>
      </w:r>
    </w:p>
    <w:p>
      <w:pPr>
        <w:pStyle w:val="KHH1"/>
      </w:pPr>
      <w:r>
        <w:t>Visual and download brief</w:t>
      </w:r>
    </w:p>
    <w:p>
      <w:r>
        <w:t>Suggested visual: a four-layer RAG architecture diagram showing knowledge source, retriever/index, generator, and human review loop.</w:t>
      </w:r>
    </w:p>
    <w:p>
      <w:r>
        <w:t>Suggested downloadable: a one-page “RAG readiness checklist” covering corpus quality, retrieval testing, review protocol, and access control.</w:t>
      </w:r>
    </w:p>
    <w:p>
      <w:pPr>
        <w:pStyle w:val="KHH1"/>
      </w:pPr>
      <w:r>
        <w:t>Source note</w:t>
      </w:r>
    </w:p>
    <w:p>
      <w:r>
        <w:t>This expanded draft is based on the Rankine Knowledge Hub deep-dive, the live direction of the Knowledge Hub and Research page, founder-connected generative AI work in construction and water systems, and the deep-dive recommendation that retrieval-grounded technical decision support should be a first-wave explainer for the Hub.</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93" w:lineRule="auto"/>
    </w:pPr>
    <w:rPr>
      <w:rFonts w:ascii="Georgia" w:hAnsi="Georgia" w:eastAsia="Georgia"/>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HTitle">
    <w:name w:val="KH Title"/>
    <w:basedOn w:val="Normal"/>
    <w:pPr>
      <w:spacing w:after="80"/>
    </w:pPr>
    <w:rPr>
      <w:rFonts w:ascii="Georgia" w:hAnsi="Georgia" w:eastAsia="Georgia"/>
      <w:b/>
      <w:color w:val="392114"/>
      <w:sz w:val="52"/>
    </w:rPr>
  </w:style>
  <w:style w:type="paragraph" w:customStyle="1" w:styleId="KHSubtitle">
    <w:name w:val="KH Subtitle"/>
    <w:basedOn w:val="Normal"/>
    <w:pPr>
      <w:spacing w:after="240"/>
    </w:pPr>
    <w:rPr>
      <w:rFonts w:ascii="Georgia" w:hAnsi="Georgia" w:eastAsia="Georgia"/>
      <w:color w:val="805E44"/>
      <w:sz w:val="30"/>
    </w:rPr>
  </w:style>
  <w:style w:type="paragraph" w:customStyle="1" w:styleId="KHH1">
    <w:name w:val="KH H1"/>
    <w:basedOn w:val="Normal"/>
    <w:pPr>
      <w:spacing w:before="240" w:after="120"/>
    </w:pPr>
    <w:rPr>
      <w:rFonts w:ascii="Georgia" w:hAnsi="Georgia" w:eastAsia="Georgia"/>
      <w:b/>
      <w:color w:val="4D2E1C"/>
      <w:sz w:val="34"/>
    </w:rPr>
  </w:style>
  <w:style w:type="paragraph" w:customStyle="1" w:styleId="KHH2">
    <w:name w:val="KH H2"/>
    <w:basedOn w:val="Normal"/>
    <w:pPr>
      <w:spacing w:before="160" w:after="80"/>
    </w:pPr>
    <w:rPr>
      <w:rFonts w:ascii="Georgia" w:hAnsi="Georgia" w:eastAsia="Georgia"/>
      <w:b/>
      <w:color w:val="663D28"/>
      <w:sz w:val="29"/>
    </w:rPr>
  </w:style>
  <w:style w:type="paragraph" w:customStyle="1" w:styleId="KHSmall">
    <w:name w:val="KH Small"/>
    <w:basedOn w:val="Normal"/>
    <w:pPr>
      <w:spacing w:after="120"/>
    </w:pPr>
    <w:rPr>
      <w:rFonts w:ascii="Georgia" w:hAnsi="Georgia" w:eastAsia="Georgia"/>
      <w:color w:val="6E6E6E"/>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