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HTitle"/>
      </w:pPr>
      <w:r>
        <w:t>How to Run a Small AI-for-STEM Capability Session</w:t>
      </w:r>
    </w:p>
    <w:p>
      <w:pPr>
        <w:pStyle w:val="KHSubtitle"/>
      </w:pPr>
      <w:r>
        <w:t>Expanded draft | Playbook | Domain: AI for STEM Innovation</w:t>
      </w:r>
    </w:p>
    <w:p/>
    <w:p>
      <w:pPr>
        <w:pStyle w:val="KHH1"/>
      </w:pPr>
      <w:r>
        <w:t>When to use this playbook</w:t>
      </w:r>
    </w:p>
    <w:p>
      <w:r>
        <w:t>This playbook is for teams that want to run a focused introductory AI-for-STEM capability session without pretending that a short workshop will solve institutional readiness by itself. It is useful for small departments, programme teams, labs, schools, innovation groups, or partner organisations that need a practical and disciplined way to introduce generative AI, retrieval-grounded use, or workflow-aware adoption.</w:t>
      </w:r>
    </w:p>
    <w:p>
      <w:r>
        <w:t>The goal is not to impress people with tools. The goal is to help participants understand where AI can add value, where it introduces risk, and how to think about responsible use in real STEM and technical workflows. A good session should leave participants more precise, not merely more excited.</w:t>
      </w:r>
    </w:p>
    <w:p>
      <w:pPr>
        <w:pStyle w:val="KHH1"/>
      </w:pPr>
      <w:r>
        <w:t>What success looks like</w:t>
      </w:r>
    </w:p>
    <w:p>
      <w:r>
        <w:t>A successful capability session produces four outcomes. First, participants leave with a clearer understanding of what AI is and is not good for in their context. Second, they can identify at least two workflow points where AI might genuinely help. Third, they recognise at least two risks or boundaries that require policy, review, or governance. Fourth, the host team gathers enough feedback to decide what should happen next: another session, a pilot, a policy note, or a pause.</w:t>
      </w:r>
    </w:p>
    <w:p>
      <w:r>
        <w:t>If none of those outcomes are visible, the session has likely become a generic technology talk rather than a capability-building exercise.</w:t>
      </w:r>
    </w:p>
    <w:p>
      <w:pPr>
        <w:pStyle w:val="KHH1"/>
      </w:pPr>
      <w:r>
        <w:t>Prerequisites and inputs</w:t>
      </w:r>
    </w:p>
    <w:p>
      <w:r>
        <w:t>Before the session, the organising team should define the audience clearly. Are participants educators, researchers, students, technicians, programme staff, or mixed stakeholders? The answer should shape examples, language, and level of depth. A mixed audience can work well, but only if the session is built around shared workflows rather than tool jargon.</w:t>
      </w:r>
    </w:p>
    <w:p>
      <w:r>
        <w:t>The team should also prepare three kinds of inputs: a short pre-session note, one or two realistic workflow examples, and a simple boundary statement. The pre-session note should explain the aim of the workshop. The workflow examples should show where AI might help in a real task, such as summarising a paper for teaching use, exploring a concept map, or answering questions over a bounded document set. The boundary statement should explain what the session does not cover, such as formal institutional policy approval or independent use without review in high-stakes tasks.</w:t>
      </w:r>
    </w:p>
    <w:p>
      <w:pPr>
        <w:pStyle w:val="KHH1"/>
      </w:pPr>
      <w:r>
        <w:t>Session structure</w:t>
      </w:r>
    </w:p>
    <w:p>
      <w:r>
        <w:t>A strong small-format session can work in 60 to 90 minutes. A simple structure is: ten minutes for framing, fifteen minutes for AI basics, twenty minutes for applied examples, fifteen minutes for hands-on reflection or guided exercise, fifteen minutes for risk and boundary discussion, and ten minutes for next steps. This structure keeps the session grounded in action and interpretation rather than tool theatre.</w:t>
      </w:r>
    </w:p>
    <w:p>
      <w:r>
        <w:t>The framing section should establish why the topic matters now and why the session is being held. The AI basics should focus on workflow logic, not model trivia. The applied examples should show one strong use case and one weak or risky use case. The reflection segment should ask participants to map AI to their own work. The risk discussion should cover hallucination, bias, source quality, confidentiality, overreliance, and the difference between drafting support and expert judgment.</w:t>
      </w:r>
    </w:p>
    <w:p>
      <w:pPr>
        <w:pStyle w:val="KHH1"/>
      </w:pPr>
      <w:r>
        <w:t>How to choose examples</w:t>
      </w:r>
    </w:p>
    <w:p>
      <w:r>
        <w:t>Examples make or break the session. The best examples are domain-relevant, bounded, and easy to discuss critically. A STEM capability session should not rely only on creative-writing prompts or generic chatbot tricks. Better examples include comparing a raw model answer with a retrieval-grounded answer over a known document set, turning a dense paper into a decision brief outline, or showing how a model can help organise lab notes while still requiring human interpretation.</w:t>
      </w:r>
    </w:p>
    <w:p>
      <w:r>
        <w:t>The point of examples is not to demonstrate that AI can produce fluent text. Most participants already know that. The point is to demonstrate where structure, evidence, and review change the quality of use.</w:t>
      </w:r>
    </w:p>
    <w:p>
      <w:pPr>
        <w:pStyle w:val="KHH1"/>
      </w:pPr>
      <w:r>
        <w:t>Facilitation guidance</w:t>
      </w:r>
    </w:p>
    <w:p>
      <w:r>
        <w:t>The facilitator should keep the tone curious but disciplined. Participants should feel free to ask naïve questions and also free to be skeptical. Strong facilitation resists two extremes: hype and fear. Hype leads to inflated assumptions about what the tools can do. Fear leads to dismissal before participants understand the actual problem space. A good facilitator keeps returning to tasks, evidence, and context.</w:t>
      </w:r>
    </w:p>
    <w:p>
      <w:r>
        <w:t>It helps to ask repeated framing questions such as: what job are we trying to improve? what standard must we protect? what source should ground the answer? what still requires human expertise? Those questions anchor the session in capability rather than novelty.</w:t>
      </w:r>
    </w:p>
    <w:p>
      <w:pPr>
        <w:pStyle w:val="KHH1"/>
      </w:pPr>
      <w:r>
        <w:t>A practical exercise pattern</w:t>
      </w:r>
    </w:p>
    <w:p>
      <w:r>
        <w:t>One useful exercise is the “workflow map” exercise. Ask participants to pick one task they do regularly. Then ask them to break it into steps. Next, ask where AI could support the task: ideation, summarisation, organisation, drafting, retrieval, or review support. Then ask where AI should not be trusted: final claims, uncontrolled citation, high-stakes judgment, confidential interpretation, or unsupported recommendation. This exercise moves the conversation from abstract interest to practical discernment.</w:t>
      </w:r>
    </w:p>
    <w:p>
      <w:r>
        <w:t>Another useful exercise is side-by-side comparison. Show a generic answer from an ungrounded model and compare it with an answer that cites or uses approved documents. Then ask participants what changed in trust, usefulness, and reviewability.</w:t>
      </w:r>
    </w:p>
    <w:p>
      <w:pPr>
        <w:pStyle w:val="KHH1"/>
      </w:pPr>
      <w:r>
        <w:t>Common failure points</w:t>
      </w:r>
    </w:p>
    <w:p>
      <w:r>
        <w:t>One failure point is trying to cover too much. A short session should not attempt to teach every AI concept, governance issue, prompt style, and application area at once. A second failure point is making the session too product-specific. People need capability principles more than they need a temporary tool tour. A third failure point is failing to define post-session action. Without a next step, the session may generate interest but not capability.</w:t>
      </w:r>
    </w:p>
    <w:p>
      <w:r>
        <w:t>Another common failure is treating every participant as though they begin from the same level of confidence or concern. Some will be eager and tool-forward. Others will be cautious or even resistant. The session should create space for both.</w:t>
      </w:r>
    </w:p>
    <w:p>
      <w:pPr>
        <w:pStyle w:val="KHH1"/>
      </w:pPr>
      <w:r>
        <w:t>After the session</w:t>
      </w:r>
    </w:p>
    <w:p>
      <w:r>
        <w:t>The most important post-session step is synthesis. Gather the questions, concerns, suggested use cases, and barriers that emerged. Sort them into four groups: immediate use cases, policy/governance questions, training needs, and “do not proceed yet” issues. This creates a realistic foundation for what comes next.</w:t>
      </w:r>
    </w:p>
    <w:p>
      <w:r>
        <w:t>If the session went well, the next step may be a more focused pilot workshop, a short guidance note, or a readiness assessment using a framework like AI Adoption Readiness for Research Teams. If the session surfaced major confusion around data governance or safety, the next step may need to be policy clarification before additional adoption work.</w:t>
      </w:r>
    </w:p>
    <w:p>
      <w:pPr>
        <w:pStyle w:val="KHH1"/>
      </w:pPr>
      <w:r>
        <w:t>How this connects to Rankine-style work</w:t>
      </w:r>
    </w:p>
    <w:p>
      <w:r>
        <w:t>For Rankine, a small AI-for-STEM capability session is not just a workshop product. It is a translation tool. It turns research insight into institutional learning, and it allows the lab to meet audiences where they are: not with abstract claims about AI, but with grounded conversation about workflows, risk, and responsible opportunity.</w:t>
      </w:r>
    </w:p>
    <w:p>
      <w:pPr>
        <w:pStyle w:val="KHH1"/>
      </w:pPr>
      <w:r>
        <w:t>Visual and download brief</w:t>
      </w:r>
    </w:p>
    <w:p>
      <w:r>
        <w:t>Suggested visual: a session flow diagram showing framing, basics, examples, exercise, risk discussion, and next steps.</w:t>
      </w:r>
    </w:p>
    <w:p>
      <w:r>
        <w:t>Suggested downloadable: a facilitator checklist with timing, exercise prompts, and a post-session synthesis template.</w:t>
      </w:r>
    </w:p>
    <w:p>
      <w:pPr>
        <w:pStyle w:val="KHH1"/>
      </w:pPr>
      <w:r>
        <w:t>Source note</w:t>
      </w:r>
    </w:p>
    <w:p>
      <w:r>
        <w:t>This expanded draft is based on the Rankine Knowledge Hub deep-dive, the first-wave recommendation for an AI-for-STEM capability playbook, founder-connected work on generative AI and retrieval-grounded technical support, and the wider Rankine positioning of AI as a practical capability rather than a novelty layer.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93" w:lineRule="auto"/>
    </w:pPr>
    <w:rPr>
      <w:rFonts w:ascii="Georgia" w:hAnsi="Georgia" w:eastAsia="Georgia"/>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HTitle">
    <w:name w:val="KH Title"/>
    <w:basedOn w:val="Normal"/>
    <w:pPr>
      <w:spacing w:after="80"/>
    </w:pPr>
    <w:rPr>
      <w:rFonts w:ascii="Georgia" w:hAnsi="Georgia" w:eastAsia="Georgia"/>
      <w:b/>
      <w:color w:val="392114"/>
      <w:sz w:val="52"/>
    </w:rPr>
  </w:style>
  <w:style w:type="paragraph" w:customStyle="1" w:styleId="KHSubtitle">
    <w:name w:val="KH Subtitle"/>
    <w:basedOn w:val="Normal"/>
    <w:pPr>
      <w:spacing w:after="240"/>
    </w:pPr>
    <w:rPr>
      <w:rFonts w:ascii="Georgia" w:hAnsi="Georgia" w:eastAsia="Georgia"/>
      <w:color w:val="805E44"/>
      <w:sz w:val="30"/>
    </w:rPr>
  </w:style>
  <w:style w:type="paragraph" w:customStyle="1" w:styleId="KHH1">
    <w:name w:val="KH H1"/>
    <w:basedOn w:val="Normal"/>
    <w:pPr>
      <w:spacing w:before="240" w:after="120"/>
    </w:pPr>
    <w:rPr>
      <w:rFonts w:ascii="Georgia" w:hAnsi="Georgia" w:eastAsia="Georgia"/>
      <w:b/>
      <w:color w:val="4D2E1C"/>
      <w:sz w:val="34"/>
    </w:rPr>
  </w:style>
  <w:style w:type="paragraph" w:customStyle="1" w:styleId="KHH2">
    <w:name w:val="KH H2"/>
    <w:basedOn w:val="Normal"/>
    <w:pPr>
      <w:spacing w:before="160" w:after="80"/>
    </w:pPr>
    <w:rPr>
      <w:rFonts w:ascii="Georgia" w:hAnsi="Georgia" w:eastAsia="Georgia"/>
      <w:b/>
      <w:color w:val="663D28"/>
      <w:sz w:val="29"/>
    </w:rPr>
  </w:style>
  <w:style w:type="paragraph" w:customStyle="1" w:styleId="KHSmall">
    <w:name w:val="KH Small"/>
    <w:basedOn w:val="Normal"/>
    <w:pPr>
      <w:spacing w:after="120"/>
    </w:pPr>
    <w:rPr>
      <w:rFonts w:ascii="Georgia" w:hAnsi="Georgia" w:eastAsia="Georgia"/>
      <w:color w:val="6E6E6E"/>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