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HTitle"/>
      </w:pPr>
      <w:r>
        <w:t>What Mycelium-Based Engineering Changes About Sustainability Conversations</w:t>
      </w:r>
    </w:p>
    <w:p>
      <w:pPr>
        <w:pStyle w:val="KHSubtitle"/>
      </w:pPr>
      <w:r>
        <w:t>Expanded draft | Lab Note | Domain: Sustainability &amp; Circularity</w:t>
      </w:r>
    </w:p>
    <w:p/>
    <w:p>
      <w:pPr>
        <w:pStyle w:val="KHH1"/>
      </w:pPr>
      <w:r>
        <w:t>Why this note exists</w:t>
      </w:r>
    </w:p>
    <w:p>
      <w:r>
        <w:t>Sustainability conversations in engineering often stay trapped between two unsatisfying positions. On one side, there is the familiar industrial improvement logic: make conventional systems a little more efficient, less carbon-intensive, or less wasteful. On the other side, there is innovation language that sounds radical but remains vague. Mycelium-based engineering changes that conversation because it introduces a different imagination entirely: one in which biological growth, material behaviour, and environmental performance are not separate topics but part of the same design question.</w:t>
      </w:r>
    </w:p>
    <w:p>
      <w:r>
        <w:t>That shift does not make mycelium a universal answer. It does make it a powerful provocation. It asks whether sustainability in engineering should only mean “optimising what we already know,” or whether it can also mean “reconsidering what counts as a material system in the first place.”</w:t>
      </w:r>
    </w:p>
    <w:p>
      <w:pPr>
        <w:pStyle w:val="KHH1"/>
      </w:pPr>
      <w:r>
        <w:t>What the work is revealing</w:t>
      </w:r>
    </w:p>
    <w:p>
      <w:r>
        <w:t>Founder-connected research in biogeotechnics points to this shift clearly. Mycelium is appearing not only as a biological curiosity, but as a material and environmental actor with implications for erosion resistance, infiltration behaviour, soil performance, crack mitigation, dust control, and even broader conversations about sustainable geotechnical materials. That breadth matters. It suggests that mycelium-based work is not a niche novelty floating outside engineering; it is beginning to press on the boundaries of what engineering materials and interventions can look like.</w:t>
      </w:r>
    </w:p>
    <w:p>
      <w:r>
        <w:t>The important point is not that every mycelium result immediately scales. The point is that the research is altering the direction of the question. Instead of asking only how to improve inert materials, it becomes possible to ask what happens when living or once-living biological systems are treated as active components in environmental and geotechnical design.</w:t>
      </w:r>
    </w:p>
    <w:p>
      <w:pPr>
        <w:pStyle w:val="KHH1"/>
      </w:pPr>
      <w:r>
        <w:t>Why this changes the sustainability conversation</w:t>
      </w:r>
    </w:p>
    <w:p>
      <w:r>
        <w:t>Much of sustainability language remains additive. It asks how to reduce harm within existing systems. Mycelium-based engineering pushes toward a more relational conversation. It asks about process, growth, adaptation, substrate, time, and environment. That changes the tone of sustainability from static accounting alone to a broader question of how material systems are formed, maintained, and degraded.</w:t>
      </w:r>
    </w:p>
    <w:p>
      <w:r>
        <w:t>It also complicates simplistic green narratives. A biologically derived intervention is not automatically better. It may still require careful assessment of durability, ecological effects, process control, scalability, and maintenance. But because the material logic is different, the conversation is forced to become more nuanced. Sustainability stops being just a claim about lower impact and becomes a question about how materials participate in systems.</w:t>
      </w:r>
    </w:p>
    <w:p>
      <w:pPr>
        <w:pStyle w:val="KHH1"/>
      </w:pPr>
      <w:r>
        <w:t>What people still underestimate</w:t>
      </w:r>
    </w:p>
    <w:p>
      <w:r>
        <w:t>One thing people underestimate is how much translation work this kind of research requires. Laboratory evidence can be compelling, but field conditions are less forgiving. Another thing they underestimate is the need for new evaluation language. Traditional material conversations are often organised around established industrial baselines. Bio-mediated systems may need a different balance of metrics, especially where restoration, resilience, or environmental interaction matter as much as standardised industrial performance.</w:t>
      </w:r>
    </w:p>
    <w:p>
      <w:r>
        <w:t>People also underestimate how important claims discipline is. Because mycelium-based work is visually and conceptually compelling, it can be over-described quickly. That is why careful framing matters so much. Saying “this line of work opens promising pathways” is very different from saying “this is ready to replace conventional practice.” The first is honest. The second may not be.</w:t>
      </w:r>
    </w:p>
    <w:p>
      <w:pPr>
        <w:pStyle w:val="KHH1"/>
      </w:pPr>
      <w:r>
        <w:t>What this means for Rankine-style work</w:t>
      </w:r>
    </w:p>
    <w:p>
      <w:r>
        <w:t>For Rankine, mycelium-based engineering is valuable not only because it sits within sustainability and circularity. It is valuable because it embodies cross-disciplinary innovation in a very concrete way. It draws together biology, environmental systems, materials thinking, and implementation questions. It therefore becomes an excellent example of the lab’s broader posture: serious about evidence, curious about frontier ideas, and careful about how those ideas move from research to application.</w:t>
      </w:r>
    </w:p>
    <w:p>
      <w:r>
        <w:t>It also gives the Knowledge Hub a distinctive voice. Many innovation platforms discuss AI, climate, or sustainability in broad terms. Far fewer can ground those conversations in emerging material research that genuinely expands how engineering and environmental design are imagined.</w:t>
      </w:r>
    </w:p>
    <w:p>
      <w:pPr>
        <w:pStyle w:val="KHH1"/>
      </w:pPr>
      <w:r>
        <w:t>One open question worth carrying forward</w:t>
      </w:r>
    </w:p>
    <w:p>
      <w:r>
        <w:t>The open question is not whether mycelium is interesting. That is already clear. The more important question is this: what kind of evaluation and pilot discipline will allow mycelium-based systems to move responsibly from compelling research into bounded, context-sensitive practice? That is where the next generation of sustainability conversations should go—away from excitement alone, and toward careful translation.</w:t>
      </w:r>
    </w:p>
    <w:p>
      <w:pPr>
        <w:pStyle w:val="KHH1"/>
      </w:pPr>
      <w:r>
        <w:t>Common mistakes to avoid</w:t>
      </w:r>
    </w:p>
    <w:p>
      <w:r>
        <w:t>Do not equate biological origin with proven sustainability. Do not confuse laboratory promise with field readiness. Do not treat unusual material behaviour as a weakness before understanding its intended use context. And do not use frontier-material language as a substitute for evidence. These mistakes can make promising research look unserious, even when the underlying work is rigorous.</w:t>
      </w:r>
    </w:p>
    <w:p>
      <w:pPr>
        <w:pStyle w:val="KHH1"/>
      </w:pPr>
      <w:r>
        <w:t>Visual and download brief</w:t>
      </w:r>
    </w:p>
    <w:p>
      <w:r>
        <w:t>Suggested visual: a simple concept graphic linking biology, soil/material performance, environmental resilience, and translation to pilot.</w:t>
      </w:r>
    </w:p>
    <w:p>
      <w:r>
        <w:t>Suggested downloadable: a one-page “questions to ask before claiming a bio-based engineering solution” sheet.</w:t>
      </w:r>
    </w:p>
    <w:p>
      <w:pPr>
        <w:pStyle w:val="KHH1"/>
      </w:pPr>
      <w:r>
        <w:t>Source note</w:t>
      </w:r>
    </w:p>
    <w:p>
      <w:r>
        <w:t>This expanded draft is based on the Rankine Knowledge Hub deep-dive, founder-connected work in biogeotechnics and mycelium-linked environmental systems, and the first-wave content direction that treats mycelium-based engineering as both a sustainability topic and a wider signal of cross-disciplinary innovation.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93" w:lineRule="auto"/>
    </w:pPr>
    <w:rPr>
      <w:rFonts w:ascii="Georgia" w:hAnsi="Georgia" w:eastAsia="Georgia"/>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HTitle">
    <w:name w:val="KH Title"/>
    <w:basedOn w:val="Normal"/>
    <w:pPr>
      <w:spacing w:after="80"/>
    </w:pPr>
    <w:rPr>
      <w:rFonts w:ascii="Georgia" w:hAnsi="Georgia" w:eastAsia="Georgia"/>
      <w:b/>
      <w:color w:val="392114"/>
      <w:sz w:val="52"/>
    </w:rPr>
  </w:style>
  <w:style w:type="paragraph" w:customStyle="1" w:styleId="KHSubtitle">
    <w:name w:val="KH Subtitle"/>
    <w:basedOn w:val="Normal"/>
    <w:pPr>
      <w:spacing w:after="240"/>
    </w:pPr>
    <w:rPr>
      <w:rFonts w:ascii="Georgia" w:hAnsi="Georgia" w:eastAsia="Georgia"/>
      <w:color w:val="805E44"/>
      <w:sz w:val="30"/>
    </w:rPr>
  </w:style>
  <w:style w:type="paragraph" w:customStyle="1" w:styleId="KHH1">
    <w:name w:val="KH H1"/>
    <w:basedOn w:val="Normal"/>
    <w:pPr>
      <w:spacing w:before="240" w:after="120"/>
    </w:pPr>
    <w:rPr>
      <w:rFonts w:ascii="Georgia" w:hAnsi="Georgia" w:eastAsia="Georgia"/>
      <w:b/>
      <w:color w:val="4D2E1C"/>
      <w:sz w:val="34"/>
    </w:rPr>
  </w:style>
  <w:style w:type="paragraph" w:customStyle="1" w:styleId="KHH2">
    <w:name w:val="KH H2"/>
    <w:basedOn w:val="Normal"/>
    <w:pPr>
      <w:spacing w:before="160" w:after="80"/>
    </w:pPr>
    <w:rPr>
      <w:rFonts w:ascii="Georgia" w:hAnsi="Georgia" w:eastAsia="Georgia"/>
      <w:b/>
      <w:color w:val="663D28"/>
      <w:sz w:val="29"/>
    </w:rPr>
  </w:style>
  <w:style w:type="paragraph" w:customStyle="1" w:styleId="KHSmall">
    <w:name w:val="KH Small"/>
    <w:basedOn w:val="Normal"/>
    <w:pPr>
      <w:spacing w:after="120"/>
    </w:pPr>
    <w:rPr>
      <w:rFonts w:ascii="Georgia" w:hAnsi="Georgia" w:eastAsia="Georgia"/>
      <w:color w:val="6E6E6E"/>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