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1DD51" w14:textId="77777777" w:rsidR="0059185A" w:rsidRDefault="0059185A" w:rsidP="0033457D"/>
    <w:p w14:paraId="7BC6306E" w14:textId="77777777" w:rsidR="0059185A" w:rsidRPr="0059185A" w:rsidRDefault="0059185A" w:rsidP="0059185A">
      <w:pPr>
        <w:shd w:val="clear" w:color="auto" w:fill="FFFFFF"/>
        <w:spacing w:after="100" w:afterAutospacing="1" w:line="240" w:lineRule="auto"/>
        <w:outlineLvl w:val="2"/>
        <w:rPr>
          <w:rFonts w:ascii="Open Sans" w:eastAsia="Times New Roman" w:hAnsi="Open Sans" w:cs="Open Sans"/>
          <w:color w:val="212529"/>
          <w:kern w:val="0"/>
          <w:sz w:val="24"/>
          <w:szCs w:val="24"/>
          <w14:ligatures w14:val="none"/>
        </w:rPr>
      </w:pPr>
      <w:r w:rsidRPr="0059185A">
        <w:rPr>
          <w:rFonts w:ascii="Open Sans" w:eastAsia="Times New Roman" w:hAnsi="Open Sans" w:cs="Open Sans"/>
          <w:color w:val="212529"/>
          <w:kern w:val="0"/>
          <w:sz w:val="24"/>
          <w:szCs w:val="24"/>
          <w14:ligatures w14:val="none"/>
        </w:rPr>
        <w:t>Legal Provisions on Record Retention:</w:t>
      </w:r>
    </w:p>
    <w:p w14:paraId="7D3CD7C8" w14:textId="56540471" w:rsidR="0059185A" w:rsidRPr="0059185A" w:rsidRDefault="0059185A" w:rsidP="0059185A">
      <w:pPr>
        <w:shd w:val="clear" w:color="auto" w:fill="FFFFFF"/>
        <w:spacing w:after="100" w:afterAutospacing="1" w:line="240" w:lineRule="auto"/>
        <w:rPr>
          <w:rFonts w:ascii="Open Sans" w:eastAsia="Times New Roman" w:hAnsi="Open Sans" w:cs="Open Sans"/>
          <w:color w:val="212529"/>
          <w:kern w:val="0"/>
          <w14:ligatures w14:val="none"/>
        </w:rPr>
      </w:pPr>
      <w:r>
        <w:rPr>
          <w:rFonts w:ascii="Open Sans" w:eastAsia="Times New Roman" w:hAnsi="Open Sans" w:cs="Open Sans"/>
          <w:color w:val="212529"/>
          <w:kern w:val="0"/>
          <w14:ligatures w14:val="none"/>
        </w:rPr>
        <w:t>Re</w:t>
      </w:r>
      <w:r w:rsidRPr="0059185A">
        <w:rPr>
          <w:rFonts w:ascii="Open Sans" w:eastAsia="Times New Roman" w:hAnsi="Open Sans" w:cs="Open Sans"/>
          <w:color w:val="212529"/>
          <w:kern w:val="0"/>
          <w14:ligatures w14:val="none"/>
        </w:rPr>
        <w:t>cord retention periods may be mandated by law or established according to industry standards. Business organizations dealing with personal data, employee records, tax and financial records, as well as invoices and receipts, will find the following provisions of the law relevant and valuable:</w:t>
      </w:r>
    </w:p>
    <w:p w14:paraId="222EFC2F" w14:textId="77777777" w:rsidR="0059185A" w:rsidRPr="0059185A" w:rsidRDefault="0059185A" w:rsidP="0059185A">
      <w:pPr>
        <w:shd w:val="clear" w:color="auto" w:fill="FFFFFF"/>
        <w:spacing w:after="100" w:afterAutospacing="1" w:line="240" w:lineRule="auto"/>
        <w:rPr>
          <w:rFonts w:ascii="Open Sans" w:eastAsia="Times New Roman" w:hAnsi="Open Sans" w:cs="Open Sans"/>
          <w:color w:val="212529"/>
          <w:kern w:val="0"/>
          <w14:ligatures w14:val="none"/>
        </w:rPr>
      </w:pPr>
      <w:r w:rsidRPr="0059185A">
        <w:rPr>
          <w:rFonts w:ascii="Open Sans" w:eastAsia="Times New Roman" w:hAnsi="Open Sans" w:cs="Open Sans"/>
          <w:b/>
          <w:bCs/>
          <w:color w:val="212529"/>
          <w:kern w:val="0"/>
          <w14:ligatures w14:val="none"/>
        </w:rPr>
        <w:t>1. Data Protection Act 2023:</w:t>
      </w:r>
      <w:r w:rsidRPr="0059185A">
        <w:rPr>
          <w:rFonts w:ascii="Open Sans" w:eastAsia="Times New Roman" w:hAnsi="Open Sans" w:cs="Open Sans"/>
          <w:color w:val="212529"/>
          <w:kern w:val="0"/>
          <w14:ligatures w14:val="none"/>
        </w:rPr>
        <w:t> Concerning retention of personal data in Nigeria, Section 24(1) (d) of the Data Protection Act 2023,</w:t>
      </w:r>
      <w:r w:rsidRPr="0059185A">
        <w:rPr>
          <w:rFonts w:ascii="Open Sans" w:eastAsia="Times New Roman" w:hAnsi="Open Sans" w:cs="Open Sans"/>
          <w:color w:val="212529"/>
          <w:kern w:val="0"/>
          <w:sz w:val="16"/>
          <w:szCs w:val="16"/>
          <w:vertAlign w:val="superscript"/>
          <w14:ligatures w14:val="none"/>
        </w:rPr>
        <w:t>3</w:t>
      </w:r>
      <w:r w:rsidRPr="0059185A">
        <w:rPr>
          <w:rFonts w:ascii="Open Sans" w:eastAsia="Times New Roman" w:hAnsi="Open Sans" w:cs="Open Sans"/>
          <w:color w:val="212529"/>
          <w:kern w:val="0"/>
          <w14:ligatures w14:val="none"/>
        </w:rPr>
        <w:t> and the Nigeria Data Protection Regulation</w:t>
      </w:r>
      <w:r w:rsidRPr="0059185A">
        <w:rPr>
          <w:rFonts w:ascii="Open Sans" w:eastAsia="Times New Roman" w:hAnsi="Open Sans" w:cs="Open Sans"/>
          <w:color w:val="212529"/>
          <w:kern w:val="0"/>
          <w:sz w:val="16"/>
          <w:szCs w:val="16"/>
          <w:vertAlign w:val="superscript"/>
          <w14:ligatures w14:val="none"/>
        </w:rPr>
        <w:t>4</w:t>
      </w:r>
      <w:r w:rsidRPr="0059185A">
        <w:rPr>
          <w:rFonts w:ascii="Open Sans" w:eastAsia="Times New Roman" w:hAnsi="Open Sans" w:cs="Open Sans"/>
          <w:color w:val="212529"/>
          <w:kern w:val="0"/>
          <w14:ligatures w14:val="none"/>
        </w:rPr>
        <w:t> do not prescribe a specific duration but require some justification or lawful bases for the retention of personal data, however long or short.</w:t>
      </w:r>
      <w:r w:rsidRPr="0059185A">
        <w:rPr>
          <w:rFonts w:ascii="Open Sans" w:eastAsia="Times New Roman" w:hAnsi="Open Sans" w:cs="Open Sans"/>
          <w:color w:val="212529"/>
          <w:kern w:val="0"/>
          <w:sz w:val="16"/>
          <w:szCs w:val="16"/>
          <w:vertAlign w:val="superscript"/>
          <w14:ligatures w14:val="none"/>
        </w:rPr>
        <w:t>5</w:t>
      </w:r>
      <w:r w:rsidRPr="0059185A">
        <w:rPr>
          <w:rFonts w:ascii="Open Sans" w:eastAsia="Times New Roman" w:hAnsi="Open Sans" w:cs="Open Sans"/>
          <w:color w:val="212529"/>
          <w:kern w:val="0"/>
          <w14:ligatures w14:val="none"/>
        </w:rPr>
        <w:t> The crux of this provision is that personal data should only be retained or stored as long as is necessary for the purpose for which it was collected or processed.</w:t>
      </w:r>
      <w:r w:rsidRPr="0059185A">
        <w:rPr>
          <w:rFonts w:ascii="Open Sans" w:eastAsia="Times New Roman" w:hAnsi="Open Sans" w:cs="Open Sans"/>
          <w:color w:val="212529"/>
          <w:kern w:val="0"/>
          <w:sz w:val="16"/>
          <w:szCs w:val="16"/>
          <w:vertAlign w:val="superscript"/>
          <w14:ligatures w14:val="none"/>
        </w:rPr>
        <w:t>6</w:t>
      </w:r>
      <w:r w:rsidRPr="0059185A">
        <w:rPr>
          <w:rFonts w:ascii="Open Sans" w:eastAsia="Times New Roman" w:hAnsi="Open Sans" w:cs="Open Sans"/>
          <w:color w:val="212529"/>
          <w:kern w:val="0"/>
          <w14:ligatures w14:val="none"/>
        </w:rPr>
        <w:t> However, a synthesis of the provisions of Article 8.0 of the NDPR-Implementation Framework</w:t>
      </w:r>
      <w:r w:rsidRPr="0059185A">
        <w:rPr>
          <w:rFonts w:ascii="Open Sans" w:eastAsia="Times New Roman" w:hAnsi="Open Sans" w:cs="Open Sans"/>
          <w:color w:val="212529"/>
          <w:kern w:val="0"/>
          <w:sz w:val="16"/>
          <w:szCs w:val="16"/>
          <w:vertAlign w:val="superscript"/>
          <w14:ligatures w14:val="none"/>
        </w:rPr>
        <w:t>7</w:t>
      </w:r>
      <w:r w:rsidRPr="0059185A">
        <w:rPr>
          <w:rFonts w:ascii="Open Sans" w:eastAsia="Times New Roman" w:hAnsi="Open Sans" w:cs="Open Sans"/>
          <w:color w:val="212529"/>
          <w:kern w:val="0"/>
          <w14:ligatures w14:val="none"/>
        </w:rPr>
        <w:t> is that where there is no applicable law, the retention period for personal data is a matter of contract which is to be stated in the terms of service or other binding document between the parties.</w:t>
      </w:r>
      <w:r w:rsidRPr="0059185A">
        <w:rPr>
          <w:rFonts w:ascii="Open Sans" w:eastAsia="Times New Roman" w:hAnsi="Open Sans" w:cs="Open Sans"/>
          <w:color w:val="212529"/>
          <w:kern w:val="0"/>
          <w:sz w:val="16"/>
          <w:szCs w:val="16"/>
          <w:vertAlign w:val="superscript"/>
          <w14:ligatures w14:val="none"/>
        </w:rPr>
        <w:t>8</w:t>
      </w:r>
      <w:r w:rsidRPr="0059185A">
        <w:rPr>
          <w:rFonts w:ascii="Open Sans" w:eastAsia="Times New Roman" w:hAnsi="Open Sans" w:cs="Open Sans"/>
          <w:color w:val="212529"/>
          <w:kern w:val="0"/>
          <w14:ligatures w14:val="none"/>
        </w:rPr>
        <w:t> In the absence of any applicable law or an agreement in respect to record retention period , the framework prescribes the following:</w:t>
      </w:r>
    </w:p>
    <w:p w14:paraId="7F8D5988" w14:textId="77777777" w:rsidR="0059185A" w:rsidRPr="0059185A" w:rsidRDefault="0059185A" w:rsidP="0059185A">
      <w:pPr>
        <w:shd w:val="clear" w:color="auto" w:fill="FFFFFF"/>
        <w:spacing w:after="100" w:afterAutospacing="1" w:line="240" w:lineRule="auto"/>
        <w:rPr>
          <w:rFonts w:ascii="Open Sans" w:eastAsia="Times New Roman" w:hAnsi="Open Sans" w:cs="Open Sans"/>
          <w:color w:val="212529"/>
          <w:kern w:val="0"/>
          <w14:ligatures w14:val="none"/>
        </w:rPr>
      </w:pPr>
      <w:r w:rsidRPr="0059185A">
        <w:rPr>
          <w:rFonts w:ascii="Open Sans" w:eastAsia="Times New Roman" w:hAnsi="Open Sans" w:cs="Open Sans"/>
          <w:color w:val="212529"/>
          <w:kern w:val="0"/>
          <w14:ligatures w14:val="none"/>
        </w:rPr>
        <w:t>a) 3 (three) years after the last active use of a digital platform</w:t>
      </w:r>
    </w:p>
    <w:p w14:paraId="7C9AA5C9" w14:textId="77777777" w:rsidR="0059185A" w:rsidRDefault="0059185A" w:rsidP="0059185A">
      <w:pPr>
        <w:pStyle w:val="NormalWeb"/>
        <w:shd w:val="clear" w:color="auto" w:fill="FFFFFF"/>
        <w:spacing w:before="0" w:beforeAutospacing="0"/>
        <w:rPr>
          <w:rFonts w:ascii="Open Sans" w:hAnsi="Open Sans" w:cs="Open Sans"/>
          <w:color w:val="212529"/>
          <w:sz w:val="22"/>
          <w:szCs w:val="22"/>
        </w:rPr>
      </w:pPr>
      <w:r>
        <w:rPr>
          <w:rFonts w:ascii="Open Sans" w:hAnsi="Open Sans" w:cs="Open Sans"/>
          <w:color w:val="212529"/>
          <w:sz w:val="22"/>
          <w:szCs w:val="22"/>
        </w:rPr>
        <w:t>b) 6 (six) years after the last transaction in a contractual agreement</w:t>
      </w:r>
    </w:p>
    <w:p w14:paraId="53D70222" w14:textId="77777777" w:rsidR="0059185A" w:rsidRDefault="0059185A" w:rsidP="0059185A">
      <w:pPr>
        <w:pStyle w:val="NormalWeb"/>
        <w:shd w:val="clear" w:color="auto" w:fill="FFFFFF"/>
        <w:spacing w:before="0" w:beforeAutospacing="0"/>
        <w:rPr>
          <w:rFonts w:ascii="Open Sans" w:hAnsi="Open Sans" w:cs="Open Sans"/>
          <w:color w:val="212529"/>
          <w:sz w:val="22"/>
          <w:szCs w:val="22"/>
        </w:rPr>
      </w:pPr>
      <w:r>
        <w:rPr>
          <w:rFonts w:ascii="Open Sans" w:hAnsi="Open Sans" w:cs="Open Sans"/>
          <w:color w:val="212529"/>
          <w:sz w:val="22"/>
          <w:szCs w:val="22"/>
        </w:rPr>
        <w:t>c) Upon presentation of evidence of death by a deceased's relative</w:t>
      </w:r>
    </w:p>
    <w:p w14:paraId="7A79C4C4" w14:textId="77777777" w:rsidR="0059185A" w:rsidRDefault="0059185A" w:rsidP="0059185A">
      <w:pPr>
        <w:pStyle w:val="NormalWeb"/>
        <w:shd w:val="clear" w:color="auto" w:fill="FFFFFF"/>
        <w:spacing w:before="0" w:beforeAutospacing="0"/>
        <w:rPr>
          <w:rFonts w:ascii="Open Sans" w:hAnsi="Open Sans" w:cs="Open Sans"/>
          <w:color w:val="212529"/>
          <w:sz w:val="22"/>
          <w:szCs w:val="22"/>
        </w:rPr>
      </w:pPr>
      <w:r>
        <w:rPr>
          <w:rFonts w:ascii="Open Sans" w:hAnsi="Open Sans" w:cs="Open Sans"/>
          <w:color w:val="212529"/>
          <w:sz w:val="22"/>
          <w:szCs w:val="22"/>
        </w:rPr>
        <w:t>d) Immediately upon request by the Data Subject or his/her legal guardian where (i) no statutory provision provides otherwise and (ii) the Data Subject is not the subject of an investigation or suit that may require the Personal Data sought to be deleted. It should be noted however, that these provisions relate only to personal data.</w:t>
      </w:r>
    </w:p>
    <w:p w14:paraId="2C7E7B0E" w14:textId="77777777" w:rsidR="0059185A" w:rsidRDefault="0059185A" w:rsidP="0059185A">
      <w:pPr>
        <w:pStyle w:val="NormalWeb"/>
        <w:shd w:val="clear" w:color="auto" w:fill="FFFFFF"/>
        <w:spacing w:before="0" w:beforeAutospacing="0"/>
        <w:rPr>
          <w:rFonts w:ascii="Open Sans" w:hAnsi="Open Sans" w:cs="Open Sans"/>
          <w:color w:val="212529"/>
          <w:sz w:val="22"/>
          <w:szCs w:val="22"/>
        </w:rPr>
      </w:pPr>
      <w:r>
        <w:rPr>
          <w:rStyle w:val="Strong"/>
          <w:rFonts w:ascii="Open Sans" w:hAnsi="Open Sans" w:cs="Open Sans"/>
          <w:color w:val="212529"/>
          <w:sz w:val="22"/>
          <w:szCs w:val="22"/>
        </w:rPr>
        <w:t>2. The Labour Act:</w:t>
      </w:r>
      <w:r>
        <w:rPr>
          <w:rFonts w:ascii="Open Sans" w:hAnsi="Open Sans" w:cs="Open Sans"/>
          <w:color w:val="212529"/>
          <w:sz w:val="16"/>
          <w:szCs w:val="16"/>
          <w:vertAlign w:val="superscript"/>
        </w:rPr>
        <w:t>9</w:t>
      </w:r>
      <w:r>
        <w:rPr>
          <w:rFonts w:ascii="Open Sans" w:hAnsi="Open Sans" w:cs="Open Sans"/>
          <w:color w:val="212529"/>
          <w:sz w:val="22"/>
          <w:szCs w:val="22"/>
        </w:rPr>
        <w:t> The Act deals with employer-worker and employer-employee relationships and provides that records of wages and conditions of employment should be retained for three (3) years after the time to which they refer.</w:t>
      </w:r>
      <w:r>
        <w:rPr>
          <w:rFonts w:ascii="Open Sans" w:hAnsi="Open Sans" w:cs="Open Sans"/>
          <w:color w:val="212529"/>
          <w:sz w:val="16"/>
          <w:szCs w:val="16"/>
          <w:vertAlign w:val="superscript"/>
        </w:rPr>
        <w:t>10</w:t>
      </w:r>
      <w:r>
        <w:rPr>
          <w:rFonts w:ascii="Open Sans" w:hAnsi="Open Sans" w:cs="Open Sans"/>
          <w:color w:val="212529"/>
          <w:sz w:val="22"/>
          <w:szCs w:val="22"/>
        </w:rPr>
        <w:t> In addition, employers are required to keep a record showing the name and address of the worker; his town (or other place) of origin; the date of his birth; the name and address of his next of kin; the date and place of his engagement; his National Provident Fund number;</w:t>
      </w:r>
      <w:r>
        <w:rPr>
          <w:rFonts w:ascii="Open Sans" w:hAnsi="Open Sans" w:cs="Open Sans"/>
          <w:color w:val="212529"/>
          <w:sz w:val="16"/>
          <w:szCs w:val="16"/>
          <w:vertAlign w:val="superscript"/>
        </w:rPr>
        <w:t>11</w:t>
      </w:r>
      <w:r>
        <w:rPr>
          <w:rFonts w:ascii="Open Sans" w:hAnsi="Open Sans" w:cs="Open Sans"/>
          <w:color w:val="212529"/>
          <w:sz w:val="22"/>
          <w:szCs w:val="22"/>
        </w:rPr>
        <w:t> and the date of cessation of employment which are to be retained for three (3) years. The Labour Act prescribes a fine not exceeding N200 as the penalty for employers who knowingly and with intent to avoid compliance with the Act fail to keep the above records as prescribed by the Act.</w:t>
      </w:r>
      <w:r>
        <w:rPr>
          <w:rFonts w:ascii="Open Sans" w:hAnsi="Open Sans" w:cs="Open Sans"/>
          <w:color w:val="212529"/>
          <w:sz w:val="16"/>
          <w:szCs w:val="16"/>
          <w:vertAlign w:val="superscript"/>
        </w:rPr>
        <w:t>12</w:t>
      </w:r>
    </w:p>
    <w:p w14:paraId="23C11273" w14:textId="2B57AA1F" w:rsidR="0059185A" w:rsidRDefault="0059185A" w:rsidP="0059185A">
      <w:pPr>
        <w:pStyle w:val="NormalWeb"/>
        <w:shd w:val="clear" w:color="auto" w:fill="FFFFFF"/>
        <w:spacing w:before="0" w:beforeAutospacing="0"/>
        <w:rPr>
          <w:rFonts w:ascii="Open Sans" w:hAnsi="Open Sans" w:cs="Open Sans"/>
          <w:color w:val="212529"/>
          <w:sz w:val="22"/>
          <w:szCs w:val="22"/>
        </w:rPr>
      </w:pPr>
      <w:r>
        <w:rPr>
          <w:rStyle w:val="Strong"/>
          <w:rFonts w:ascii="Open Sans" w:hAnsi="Open Sans" w:cs="Open Sans"/>
          <w:color w:val="212529"/>
          <w:sz w:val="22"/>
          <w:szCs w:val="22"/>
        </w:rPr>
        <w:t>3. The Companies and Allied Matters Act (CAMA):</w:t>
      </w:r>
      <w:r>
        <w:rPr>
          <w:rFonts w:ascii="Open Sans" w:hAnsi="Open Sans" w:cs="Open Sans"/>
          <w:color w:val="212529"/>
          <w:sz w:val="16"/>
          <w:szCs w:val="16"/>
          <w:vertAlign w:val="superscript"/>
        </w:rPr>
        <w:t>13</w:t>
      </w:r>
      <w:r>
        <w:rPr>
          <w:rFonts w:ascii="Open Sans" w:hAnsi="Open Sans" w:cs="Open Sans"/>
          <w:color w:val="212529"/>
          <w:sz w:val="22"/>
          <w:szCs w:val="22"/>
        </w:rPr>
        <w:t> Corporate bodies are required to retain records/docum</w:t>
      </w:r>
      <w:r w:rsidRPr="0059185A">
        <w:rPr>
          <w:rFonts w:ascii="Open Sans" w:hAnsi="Open Sans" w:cs="Open Sans"/>
          <w:color w:val="212529"/>
          <w:sz w:val="22"/>
          <w:szCs w:val="22"/>
        </w:rPr>
        <w:t xml:space="preserve"> </w:t>
      </w:r>
      <w:r>
        <w:rPr>
          <w:rFonts w:ascii="Open Sans" w:hAnsi="Open Sans" w:cs="Open Sans"/>
          <w:color w:val="212529"/>
          <w:sz w:val="22"/>
          <w:szCs w:val="22"/>
        </w:rPr>
        <w:t xml:space="preserve">ents stored in pursuance of the provisions of CAMA in soft copies for </w:t>
      </w:r>
      <w:r>
        <w:rPr>
          <w:rFonts w:ascii="Open Sans" w:hAnsi="Open Sans" w:cs="Open Sans"/>
          <w:color w:val="212529"/>
          <w:sz w:val="22"/>
          <w:szCs w:val="22"/>
        </w:rPr>
        <w:lastRenderedPageBreak/>
        <w:t>Six (6) years.</w:t>
      </w:r>
      <w:r>
        <w:rPr>
          <w:rFonts w:ascii="Open Sans" w:hAnsi="Open Sans" w:cs="Open Sans"/>
          <w:color w:val="212529"/>
          <w:sz w:val="16"/>
          <w:szCs w:val="16"/>
          <w:vertAlign w:val="superscript"/>
        </w:rPr>
        <w:t>14</w:t>
      </w:r>
      <w:r>
        <w:rPr>
          <w:rFonts w:ascii="Open Sans" w:hAnsi="Open Sans" w:cs="Open Sans"/>
          <w:color w:val="212529"/>
          <w:sz w:val="22"/>
          <w:szCs w:val="22"/>
        </w:rPr>
        <w:t> This includes reports, registers, minutes, financial statements, balance sheets, resolutions etc.</w:t>
      </w:r>
    </w:p>
    <w:p w14:paraId="40ED8F48" w14:textId="77777777" w:rsidR="0059185A" w:rsidRDefault="0059185A" w:rsidP="0059185A">
      <w:pPr>
        <w:pStyle w:val="NormalWeb"/>
        <w:shd w:val="clear" w:color="auto" w:fill="FFFFFF"/>
        <w:spacing w:before="0" w:beforeAutospacing="0"/>
        <w:rPr>
          <w:rFonts w:ascii="Open Sans" w:hAnsi="Open Sans" w:cs="Open Sans"/>
          <w:color w:val="212529"/>
          <w:sz w:val="22"/>
          <w:szCs w:val="22"/>
        </w:rPr>
      </w:pPr>
      <w:r>
        <w:rPr>
          <w:rStyle w:val="Strong"/>
          <w:rFonts w:ascii="Open Sans" w:hAnsi="Open Sans" w:cs="Open Sans"/>
          <w:color w:val="212529"/>
          <w:sz w:val="22"/>
          <w:szCs w:val="22"/>
        </w:rPr>
        <w:t>4. The Companies Income Tax Act (CITA):</w:t>
      </w:r>
      <w:r>
        <w:rPr>
          <w:rFonts w:ascii="Open Sans" w:hAnsi="Open Sans" w:cs="Open Sans"/>
          <w:color w:val="212529"/>
          <w:sz w:val="16"/>
          <w:szCs w:val="16"/>
          <w:vertAlign w:val="superscript"/>
        </w:rPr>
        <w:t>15</w:t>
      </w:r>
      <w:r>
        <w:rPr>
          <w:rFonts w:ascii="Open Sans" w:hAnsi="Open Sans" w:cs="Open Sans"/>
          <w:color w:val="212529"/>
          <w:sz w:val="22"/>
          <w:szCs w:val="22"/>
        </w:rPr>
        <w:t> Section 63 of the CITA provides that every company, including a company granted exemption from incorporation, shall, whether or not the company is liable to pay tax under the Act, maintain books or records of accounts, containing sufficient information or data of all transactions. Any book or record required to be kept under this section shall be kept for a period of at least six (6) years after the year of assessment in which the income relates.</w:t>
      </w:r>
      <w:r>
        <w:rPr>
          <w:rFonts w:ascii="Open Sans" w:hAnsi="Open Sans" w:cs="Open Sans"/>
          <w:color w:val="212529"/>
          <w:sz w:val="16"/>
          <w:szCs w:val="16"/>
          <w:vertAlign w:val="superscript"/>
        </w:rPr>
        <w:t>16</w:t>
      </w:r>
    </w:p>
    <w:p w14:paraId="749E9E43" w14:textId="77777777" w:rsidR="0059185A" w:rsidRDefault="0059185A" w:rsidP="0059185A">
      <w:pPr>
        <w:pStyle w:val="NormalWeb"/>
        <w:shd w:val="clear" w:color="auto" w:fill="FFFFFF"/>
        <w:spacing w:before="0" w:beforeAutospacing="0"/>
        <w:rPr>
          <w:rFonts w:ascii="Open Sans" w:hAnsi="Open Sans" w:cs="Open Sans"/>
          <w:color w:val="212529"/>
          <w:sz w:val="22"/>
          <w:szCs w:val="22"/>
        </w:rPr>
      </w:pPr>
      <w:r>
        <w:rPr>
          <w:rFonts w:ascii="Open Sans" w:hAnsi="Open Sans" w:cs="Open Sans"/>
          <w:color w:val="212529"/>
          <w:sz w:val="22"/>
          <w:szCs w:val="22"/>
        </w:rPr>
        <w:t>In addition to all of the above, the Federal Inland Revenue Service (FIRS) published a guide on simple record keeping for business records and defines business records as "written evidence summarising a transaction carried out by a person in his business at a given time or over a given period. Business records are normally kept in books in an organised form. Business records can also be maintained in electronic format". The guide recommends that fixed assets, expenditures, tax affairs, evidence of payments, bank transactions, additional financial capital, personal drawings, sales purchases, cash and credit transactions, and related records be kept for at least six (6) years.</w:t>
      </w:r>
      <w:r>
        <w:rPr>
          <w:rFonts w:ascii="Open Sans" w:hAnsi="Open Sans" w:cs="Open Sans"/>
          <w:color w:val="212529"/>
          <w:sz w:val="16"/>
          <w:szCs w:val="16"/>
          <w:vertAlign w:val="superscript"/>
        </w:rPr>
        <w:t>17</w:t>
      </w:r>
    </w:p>
    <w:p w14:paraId="042A59C5" w14:textId="77777777" w:rsidR="0059185A" w:rsidRDefault="0059185A" w:rsidP="0059185A">
      <w:pPr>
        <w:pStyle w:val="NormalWeb"/>
        <w:shd w:val="clear" w:color="auto" w:fill="FFFFFF"/>
        <w:spacing w:before="0" w:beforeAutospacing="0"/>
        <w:rPr>
          <w:rFonts w:ascii="Open Sans" w:hAnsi="Open Sans" w:cs="Open Sans"/>
          <w:color w:val="212529"/>
          <w:sz w:val="22"/>
          <w:szCs w:val="22"/>
        </w:rPr>
      </w:pPr>
      <w:r>
        <w:rPr>
          <w:rStyle w:val="Strong"/>
          <w:rFonts w:ascii="Open Sans" w:hAnsi="Open Sans" w:cs="Open Sans"/>
          <w:color w:val="212529"/>
          <w:sz w:val="22"/>
          <w:szCs w:val="22"/>
        </w:rPr>
        <w:t>5. The Cybercrime (Prohibition, Prevention etc.) Act</w:t>
      </w:r>
      <w:r>
        <w:rPr>
          <w:rFonts w:ascii="Open Sans" w:hAnsi="Open Sans" w:cs="Open Sans"/>
          <w:color w:val="212529"/>
          <w:sz w:val="16"/>
          <w:szCs w:val="16"/>
          <w:vertAlign w:val="superscript"/>
        </w:rPr>
        <w:t>18</w:t>
      </w:r>
      <w:r>
        <w:rPr>
          <w:rFonts w:ascii="Open Sans" w:hAnsi="Open Sans" w:cs="Open Sans"/>
          <w:color w:val="212529"/>
          <w:sz w:val="22"/>
          <w:szCs w:val="22"/>
        </w:rPr>
        <w:t> provides that telecommunications service providers are</w:t>
      </w:r>
    </w:p>
    <w:p w14:paraId="1E3FC5B1" w14:textId="77777777" w:rsidR="0059185A" w:rsidRDefault="0059185A" w:rsidP="0059185A">
      <w:pPr>
        <w:pStyle w:val="NormalWeb"/>
        <w:shd w:val="clear" w:color="auto" w:fill="FFFFFF"/>
        <w:spacing w:before="0" w:beforeAutospacing="0"/>
        <w:rPr>
          <w:rFonts w:ascii="Open Sans" w:hAnsi="Open Sans" w:cs="Open Sans"/>
          <w:color w:val="212529"/>
          <w:sz w:val="22"/>
          <w:szCs w:val="22"/>
        </w:rPr>
      </w:pPr>
      <w:r>
        <w:rPr>
          <w:rFonts w:ascii="Open Sans" w:hAnsi="Open Sans" w:cs="Open Sans"/>
          <w:color w:val="212529"/>
          <w:sz w:val="22"/>
          <w:szCs w:val="22"/>
        </w:rPr>
        <w:t>required to preserve and retain traffic data and subscriber information for a period of two (2) years.</w:t>
      </w:r>
      <w:r>
        <w:rPr>
          <w:rFonts w:ascii="Open Sans" w:hAnsi="Open Sans" w:cs="Open Sans"/>
          <w:color w:val="212529"/>
          <w:sz w:val="16"/>
          <w:szCs w:val="16"/>
          <w:vertAlign w:val="superscript"/>
        </w:rPr>
        <w:t>19</w:t>
      </w:r>
      <w:r>
        <w:rPr>
          <w:rFonts w:ascii="Open Sans" w:hAnsi="Open Sans" w:cs="Open Sans"/>
          <w:color w:val="212529"/>
          <w:sz w:val="22"/>
          <w:szCs w:val="22"/>
        </w:rPr>
        <w:t> In addition, the Consumer Code of Practice Regulations</w:t>
      </w:r>
      <w:r>
        <w:rPr>
          <w:rFonts w:ascii="Open Sans" w:hAnsi="Open Sans" w:cs="Open Sans"/>
          <w:color w:val="212529"/>
          <w:sz w:val="16"/>
          <w:szCs w:val="16"/>
          <w:vertAlign w:val="superscript"/>
        </w:rPr>
        <w:t>20</w:t>
      </w:r>
      <w:r>
        <w:rPr>
          <w:rFonts w:ascii="Open Sans" w:hAnsi="Open Sans" w:cs="Open Sans"/>
          <w:color w:val="212529"/>
          <w:sz w:val="22"/>
          <w:szCs w:val="22"/>
        </w:rPr>
        <w:t> issued by the Nigeria Communications Commission (NCC) on consumer information, restates the general principles on data protection and privacy contained in the Nigeria Data Protection Act and the Nigeria Data Protection Regulations.</w:t>
      </w:r>
      <w:r>
        <w:rPr>
          <w:rFonts w:ascii="Open Sans" w:hAnsi="Open Sans" w:cs="Open Sans"/>
          <w:color w:val="212529"/>
          <w:sz w:val="16"/>
          <w:szCs w:val="16"/>
          <w:vertAlign w:val="superscript"/>
        </w:rPr>
        <w:t>21</w:t>
      </w:r>
      <w:r>
        <w:rPr>
          <w:rFonts w:ascii="Open Sans" w:hAnsi="Open Sans" w:cs="Open Sans"/>
          <w:color w:val="212529"/>
          <w:sz w:val="22"/>
          <w:szCs w:val="22"/>
        </w:rPr>
        <w:t> It also provides some specific retention periods for different operational records/documents. For instance, with respect to complaint submission and handling processes, licensees are required to retain all information recorded and collected for at least twelve (12) months following resolution of a complaint.</w:t>
      </w:r>
      <w:r>
        <w:rPr>
          <w:rFonts w:ascii="Open Sans" w:hAnsi="Open Sans" w:cs="Open Sans"/>
          <w:color w:val="212529"/>
          <w:sz w:val="16"/>
          <w:szCs w:val="16"/>
          <w:vertAlign w:val="superscript"/>
        </w:rPr>
        <w:t>22</w:t>
      </w:r>
      <w:r>
        <w:rPr>
          <w:rFonts w:ascii="Open Sans" w:hAnsi="Open Sans" w:cs="Open Sans"/>
          <w:color w:val="212529"/>
          <w:sz w:val="22"/>
          <w:szCs w:val="22"/>
        </w:rPr>
        <w:t> The operator is also required to retain records of a customer's bill and related charges for a minimum period of twelve (12) months.</w:t>
      </w:r>
      <w:r>
        <w:rPr>
          <w:rFonts w:ascii="Open Sans" w:hAnsi="Open Sans" w:cs="Open Sans"/>
          <w:color w:val="212529"/>
          <w:sz w:val="16"/>
          <w:szCs w:val="16"/>
          <w:vertAlign w:val="superscript"/>
        </w:rPr>
        <w:t>23</w:t>
      </w:r>
    </w:p>
    <w:p w14:paraId="0B4398A3" w14:textId="76CE7116" w:rsidR="0059185A" w:rsidRDefault="0059185A" w:rsidP="0059185A">
      <w:pPr>
        <w:pStyle w:val="NormalWeb"/>
        <w:shd w:val="clear" w:color="auto" w:fill="FFFFFF"/>
        <w:spacing w:before="0" w:beforeAutospacing="0"/>
        <w:rPr>
          <w:rFonts w:ascii="Open Sans" w:hAnsi="Open Sans" w:cs="Open Sans"/>
          <w:color w:val="212529"/>
          <w:sz w:val="22"/>
          <w:szCs w:val="22"/>
        </w:rPr>
      </w:pPr>
      <w:r>
        <w:rPr>
          <w:rStyle w:val="Strong"/>
          <w:rFonts w:ascii="Open Sans" w:hAnsi="Open Sans" w:cs="Open Sans"/>
          <w:color w:val="212529"/>
          <w:sz w:val="22"/>
          <w:szCs w:val="22"/>
        </w:rPr>
        <w:t>6. Banks and Other Financial Institutions Act:</w:t>
      </w:r>
      <w:r>
        <w:rPr>
          <w:rFonts w:ascii="Open Sans" w:hAnsi="Open Sans" w:cs="Open Sans"/>
          <w:color w:val="212529"/>
          <w:sz w:val="16"/>
          <w:szCs w:val="16"/>
          <w:vertAlign w:val="superscript"/>
        </w:rPr>
        <w:t>24</w:t>
      </w:r>
      <w:r>
        <w:rPr>
          <w:rFonts w:ascii="Open Sans" w:hAnsi="Open Sans" w:cs="Open Sans"/>
          <w:color w:val="212529"/>
          <w:sz w:val="22"/>
          <w:szCs w:val="22"/>
        </w:rPr>
        <w:t> The Act provides that proper books of accounts are kept with respect to all transactions</w:t>
      </w:r>
      <w:r>
        <w:rPr>
          <w:rFonts w:ascii="Open Sans" w:hAnsi="Open Sans" w:cs="Open Sans"/>
          <w:color w:val="212529"/>
          <w:sz w:val="16"/>
          <w:szCs w:val="16"/>
          <w:vertAlign w:val="superscript"/>
        </w:rPr>
        <w:t>25</w:t>
      </w:r>
      <w:r>
        <w:rPr>
          <w:rFonts w:ascii="Open Sans" w:hAnsi="Open Sans" w:cs="Open Sans"/>
          <w:color w:val="212529"/>
          <w:sz w:val="22"/>
          <w:szCs w:val="22"/>
        </w:rPr>
        <w:t> but does not provide a specific retention period. Nonetheless, organisations operating in the financial service sector, must consider the various Central Bank of Nigeria (CBN) regulations and guidelines that specify durations for retaining various types of documents/records. For instance, the CBN Regulation for Direct Debit Schemes in Nigeria,</w:t>
      </w:r>
      <w:r>
        <w:rPr>
          <w:rFonts w:ascii="Open Sans" w:hAnsi="Open Sans" w:cs="Open Sans"/>
          <w:color w:val="212529"/>
          <w:sz w:val="16"/>
          <w:szCs w:val="16"/>
          <w:vertAlign w:val="superscript"/>
        </w:rPr>
        <w:t>26</w:t>
      </w:r>
      <w:r>
        <w:rPr>
          <w:rFonts w:ascii="Open Sans" w:hAnsi="Open Sans" w:cs="Open Sans"/>
          <w:color w:val="212529"/>
          <w:sz w:val="22"/>
          <w:szCs w:val="22"/>
        </w:rPr>
        <w:t> requires that a biller</w:t>
      </w:r>
      <w:r>
        <w:rPr>
          <w:rFonts w:ascii="Open Sans" w:hAnsi="Open Sans" w:cs="Open Sans"/>
          <w:color w:val="212529"/>
          <w:sz w:val="16"/>
          <w:szCs w:val="16"/>
          <w:vertAlign w:val="superscript"/>
        </w:rPr>
        <w:t>27</w:t>
      </w:r>
      <w:r>
        <w:rPr>
          <w:rFonts w:ascii="Open Sans" w:hAnsi="Open Sans" w:cs="Open Sans"/>
          <w:color w:val="212529"/>
          <w:sz w:val="22"/>
          <w:szCs w:val="22"/>
        </w:rPr>
        <w:t> maintains documentation/records received from a payer</w:t>
      </w:r>
      <w:r>
        <w:rPr>
          <w:rFonts w:ascii="Open Sans" w:hAnsi="Open Sans" w:cs="Open Sans"/>
          <w:color w:val="212529"/>
          <w:sz w:val="16"/>
          <w:szCs w:val="16"/>
          <w:vertAlign w:val="superscript"/>
        </w:rPr>
        <w:t>28</w:t>
      </w:r>
      <w:r>
        <w:rPr>
          <w:rFonts w:ascii="Open Sans" w:hAnsi="Open Sans" w:cs="Open Sans"/>
          <w:color w:val="212529"/>
          <w:sz w:val="22"/>
          <w:szCs w:val="22"/>
        </w:rPr>
        <w:t> or payer's bank for as long as the mandate is active. While documentation on expired mandates are subject to a minimum retention period of six (6) years.</w:t>
      </w:r>
      <w:r>
        <w:rPr>
          <w:rFonts w:ascii="Open Sans" w:hAnsi="Open Sans" w:cs="Open Sans"/>
          <w:color w:val="212529"/>
          <w:sz w:val="16"/>
          <w:szCs w:val="16"/>
          <w:vertAlign w:val="superscript"/>
        </w:rPr>
        <w:t>29</w:t>
      </w:r>
      <w:r>
        <w:rPr>
          <w:rFonts w:ascii="Open Sans" w:hAnsi="Open Sans" w:cs="Open Sans"/>
          <w:color w:val="212529"/>
          <w:sz w:val="22"/>
          <w:szCs w:val="22"/>
        </w:rPr>
        <w:t xml:space="preserve"> Credit bureaux are also required to maintain a historical database which covers a five (5) year period and reflects the extent to which clients are regular in meeting their </w:t>
      </w:r>
      <w:r>
        <w:rPr>
          <w:rFonts w:ascii="Open Sans" w:hAnsi="Open Sans" w:cs="Open Sans"/>
          <w:color w:val="212529"/>
          <w:sz w:val="22"/>
          <w:szCs w:val="22"/>
        </w:rPr>
        <w:lastRenderedPageBreak/>
        <w:t>commitments on due dates and information related to clients' delinquencies and payment delays. This database is</w:t>
      </w:r>
      <w:r>
        <w:rPr>
          <w:rFonts w:ascii="Open Sans" w:hAnsi="Open Sans" w:cs="Open Sans"/>
          <w:color w:val="212529"/>
          <w:sz w:val="22"/>
          <w:szCs w:val="22"/>
        </w:rPr>
        <w:t xml:space="preserve"> </w:t>
      </w:r>
      <w:r>
        <w:rPr>
          <w:rFonts w:ascii="Open Sans" w:hAnsi="Open Sans" w:cs="Open Sans"/>
          <w:color w:val="212529"/>
          <w:sz w:val="22"/>
          <w:szCs w:val="22"/>
          <w:shd w:val="clear" w:color="auto" w:fill="FFFFFF"/>
        </w:rPr>
        <w:t>required to be kept for at least ten (10) years.</w:t>
      </w:r>
      <w:r>
        <w:rPr>
          <w:rFonts w:ascii="Open Sans" w:hAnsi="Open Sans" w:cs="Open Sans"/>
          <w:color w:val="212529"/>
          <w:sz w:val="9"/>
          <w:szCs w:val="9"/>
          <w:shd w:val="clear" w:color="auto" w:fill="FFFFFF"/>
          <w:vertAlign w:val="superscript"/>
        </w:rPr>
        <w:t>30</w:t>
      </w:r>
      <w:r>
        <w:rPr>
          <w:rFonts w:ascii="Open Sans" w:hAnsi="Open Sans" w:cs="Open Sans"/>
          <w:color w:val="212529"/>
          <w:sz w:val="22"/>
          <w:szCs w:val="22"/>
          <w:shd w:val="clear" w:color="auto" w:fill="FFFFFF"/>
        </w:rPr>
        <w:t> Under the Nigeria Bankers' Clearing System Rules,</w:t>
      </w:r>
      <w:r>
        <w:rPr>
          <w:rFonts w:ascii="Open Sans" w:hAnsi="Open Sans" w:cs="Open Sans"/>
          <w:color w:val="212529"/>
          <w:sz w:val="16"/>
          <w:szCs w:val="16"/>
          <w:shd w:val="clear" w:color="auto" w:fill="FFFFFF"/>
          <w:vertAlign w:val="superscript"/>
        </w:rPr>
        <w:t>31</w:t>
      </w:r>
      <w:r>
        <w:rPr>
          <w:rFonts w:ascii="Open Sans" w:hAnsi="Open Sans" w:cs="Open Sans"/>
          <w:color w:val="212529"/>
          <w:sz w:val="22"/>
          <w:szCs w:val="22"/>
          <w:shd w:val="clear" w:color="auto" w:fill="FFFFFF"/>
        </w:rPr>
        <w:t> the retention period of physical cheques by the presenting bank is a minimum of five (5) years, while operators of the Automated Clearing System shall keep electronic copies of the cheque images for a minimum period of ten (10) years.</w:t>
      </w:r>
      <w:r>
        <w:rPr>
          <w:rFonts w:ascii="Open Sans" w:hAnsi="Open Sans" w:cs="Open Sans"/>
          <w:color w:val="212529"/>
          <w:sz w:val="9"/>
          <w:szCs w:val="9"/>
          <w:shd w:val="clear" w:color="auto" w:fill="FFFFFF"/>
          <w:vertAlign w:val="superscript"/>
        </w:rPr>
        <w:t>32</w:t>
      </w:r>
    </w:p>
    <w:p w14:paraId="314FBA0F" w14:textId="77777777" w:rsidR="0059185A" w:rsidRPr="0033457D" w:rsidRDefault="0059185A" w:rsidP="0033457D"/>
    <w:sectPr w:rsidR="0059185A" w:rsidRPr="003345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57D"/>
    <w:rsid w:val="0033457D"/>
    <w:rsid w:val="0059185A"/>
    <w:rsid w:val="008C6196"/>
    <w:rsid w:val="00A96B0B"/>
    <w:rsid w:val="00BF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DAC21F"/>
  <w15:chartTrackingRefBased/>
  <w15:docId w15:val="{F03F5A6C-2D6A-4977-8CB2-4E33166BA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9185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45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59185A"/>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5918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707174">
      <w:bodyDiv w:val="1"/>
      <w:marLeft w:val="0"/>
      <w:marRight w:val="0"/>
      <w:marTop w:val="0"/>
      <w:marBottom w:val="0"/>
      <w:divBdr>
        <w:top w:val="none" w:sz="0" w:space="0" w:color="auto"/>
        <w:left w:val="none" w:sz="0" w:space="0" w:color="auto"/>
        <w:bottom w:val="none" w:sz="0" w:space="0" w:color="auto"/>
        <w:right w:val="none" w:sz="0" w:space="0" w:color="auto"/>
      </w:divBdr>
      <w:divsChild>
        <w:div w:id="2137217755">
          <w:blockQuote w:val="1"/>
          <w:marLeft w:val="0"/>
          <w:marRight w:val="0"/>
          <w:marTop w:val="420"/>
          <w:marBottom w:val="420"/>
          <w:divBdr>
            <w:top w:val="none" w:sz="0" w:space="8" w:color="auto"/>
            <w:left w:val="single" w:sz="12" w:space="12" w:color="auto"/>
            <w:bottom w:val="none" w:sz="0" w:space="8" w:color="auto"/>
            <w:right w:val="none" w:sz="0" w:space="15" w:color="auto"/>
          </w:divBdr>
        </w:div>
      </w:divsChild>
    </w:div>
    <w:div w:id="709375353">
      <w:bodyDiv w:val="1"/>
      <w:marLeft w:val="0"/>
      <w:marRight w:val="0"/>
      <w:marTop w:val="0"/>
      <w:marBottom w:val="0"/>
      <w:divBdr>
        <w:top w:val="none" w:sz="0" w:space="0" w:color="auto"/>
        <w:left w:val="none" w:sz="0" w:space="0" w:color="auto"/>
        <w:bottom w:val="none" w:sz="0" w:space="0" w:color="auto"/>
        <w:right w:val="none" w:sz="0" w:space="0" w:color="auto"/>
      </w:divBdr>
    </w:div>
    <w:div w:id="972516194">
      <w:bodyDiv w:val="1"/>
      <w:marLeft w:val="0"/>
      <w:marRight w:val="0"/>
      <w:marTop w:val="0"/>
      <w:marBottom w:val="0"/>
      <w:divBdr>
        <w:top w:val="none" w:sz="0" w:space="0" w:color="auto"/>
        <w:left w:val="none" w:sz="0" w:space="0" w:color="auto"/>
        <w:bottom w:val="none" w:sz="0" w:space="0" w:color="auto"/>
        <w:right w:val="none" w:sz="0" w:space="0" w:color="auto"/>
      </w:divBdr>
    </w:div>
    <w:div w:id="1476949508">
      <w:bodyDiv w:val="1"/>
      <w:marLeft w:val="0"/>
      <w:marRight w:val="0"/>
      <w:marTop w:val="0"/>
      <w:marBottom w:val="0"/>
      <w:divBdr>
        <w:top w:val="none" w:sz="0" w:space="0" w:color="auto"/>
        <w:left w:val="none" w:sz="0" w:space="0" w:color="auto"/>
        <w:bottom w:val="none" w:sz="0" w:space="0" w:color="auto"/>
        <w:right w:val="none" w:sz="0" w:space="0" w:color="auto"/>
      </w:divBdr>
    </w:div>
    <w:div w:id="1583300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1005</Words>
  <Characters>5345</Characters>
  <Application>Microsoft Office Word</Application>
  <DocSecurity>0</DocSecurity>
  <Lines>79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1</cp:revision>
  <dcterms:created xsi:type="dcterms:W3CDTF">2023-10-16T15:02:00Z</dcterms:created>
  <dcterms:modified xsi:type="dcterms:W3CDTF">2023-10-16T15:21:00Z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f2d7ea81-e753-455e-9c6a-c841b18ce03c</vt:lpwstr>
  </property>
</Properties>
</file>