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E6A17" w14:textId="77777777" w:rsidR="00532803" w:rsidRDefault="00532803" w:rsidP="00532803">
      <w:pPr>
        <w:pStyle w:val="NormalWeb"/>
        <w:shd w:val="clear" w:color="auto" w:fill="FFFFFF"/>
        <w:spacing w:before="0" w:beforeAutospacing="0" w:after="225" w:afterAutospacing="0"/>
        <w:rPr>
          <w:rFonts w:ascii="Lato" w:hAnsi="Lato"/>
          <w:color w:val="4A4A4A"/>
        </w:rPr>
      </w:pPr>
      <w:r>
        <w:rPr>
          <w:rFonts w:ascii="Lato" w:hAnsi="Lato"/>
          <w:color w:val="4A4A4A"/>
        </w:rPr>
        <w:t>Reply on point of law in an affidavit</w:t>
      </w:r>
    </w:p>
    <w:p w14:paraId="5BE73A2B" w14:textId="1996AFB9" w:rsidR="00532803" w:rsidRDefault="00532803" w:rsidP="00532803">
      <w:pPr>
        <w:pStyle w:val="NormalWeb"/>
        <w:shd w:val="clear" w:color="auto" w:fill="FFFFFF"/>
        <w:spacing w:before="0" w:beforeAutospacing="0" w:after="225" w:afterAutospacing="0"/>
        <w:rPr>
          <w:rFonts w:ascii="Lato" w:hAnsi="Lato"/>
          <w:color w:val="4A4A4A"/>
        </w:rPr>
      </w:pPr>
      <w:r>
        <w:rPr>
          <w:rFonts w:ascii="Lato" w:hAnsi="Lato"/>
          <w:color w:val="4A4A4A"/>
        </w:rPr>
        <w:t xml:space="preserve"> </w:t>
      </w:r>
      <w:r>
        <w:rPr>
          <w:rFonts w:ascii="Lato" w:hAnsi="Lato"/>
          <w:color w:val="4A4A4A"/>
        </w:rPr>
        <w:t xml:space="preserve">See: the case of </w:t>
      </w:r>
      <w:proofErr w:type="spellStart"/>
      <w:r>
        <w:rPr>
          <w:rFonts w:ascii="Lato" w:hAnsi="Lato"/>
          <w:color w:val="4A4A4A"/>
        </w:rPr>
        <w:t>Macfoy</w:t>
      </w:r>
      <w:proofErr w:type="spellEnd"/>
      <w:r>
        <w:rPr>
          <w:rFonts w:ascii="Lato" w:hAnsi="Lato"/>
          <w:color w:val="4A4A4A"/>
        </w:rPr>
        <w:t xml:space="preserve"> v United African Company Limited PC 27 Nov. 1961. Also, I humbly submit that the use of the word ‘shall’ in section 115(2) of the EA connotes that the requirement to ‘facts’ rather than law’ in an affidavit is ‘mandatory’. In the case of Dr. Arthur </w:t>
      </w:r>
      <w:proofErr w:type="spellStart"/>
      <w:r>
        <w:rPr>
          <w:rFonts w:ascii="Lato" w:hAnsi="Lato"/>
          <w:color w:val="4A4A4A"/>
        </w:rPr>
        <w:t>Agwuncha</w:t>
      </w:r>
      <w:proofErr w:type="spellEnd"/>
      <w:r>
        <w:rPr>
          <w:rFonts w:ascii="Lato" w:hAnsi="Lato"/>
          <w:color w:val="4A4A4A"/>
        </w:rPr>
        <w:t xml:space="preserve"> Nwankwo and </w:t>
      </w:r>
      <w:proofErr w:type="spellStart"/>
      <w:r>
        <w:rPr>
          <w:rFonts w:ascii="Lato" w:hAnsi="Lato"/>
          <w:color w:val="4A4A4A"/>
        </w:rPr>
        <w:t>Ors</w:t>
      </w:r>
      <w:proofErr w:type="spellEnd"/>
      <w:r>
        <w:rPr>
          <w:rFonts w:ascii="Lato" w:hAnsi="Lato"/>
          <w:color w:val="4A4A4A"/>
        </w:rPr>
        <w:t xml:space="preserve"> V. Alhaji Umaru </w:t>
      </w:r>
      <w:proofErr w:type="spellStart"/>
      <w:r>
        <w:rPr>
          <w:rFonts w:ascii="Lato" w:hAnsi="Lato"/>
          <w:color w:val="4A4A4A"/>
        </w:rPr>
        <w:t>Yar’Adua</w:t>
      </w:r>
      <w:proofErr w:type="spellEnd"/>
      <w:r>
        <w:rPr>
          <w:rFonts w:ascii="Lato" w:hAnsi="Lato"/>
          <w:color w:val="4A4A4A"/>
        </w:rPr>
        <w:t xml:space="preserve"> and </w:t>
      </w:r>
      <w:proofErr w:type="spellStart"/>
      <w:r>
        <w:rPr>
          <w:rFonts w:ascii="Lato" w:hAnsi="Lato"/>
          <w:color w:val="4A4A4A"/>
        </w:rPr>
        <w:t>Ors</w:t>
      </w:r>
      <w:proofErr w:type="spellEnd"/>
      <w:r>
        <w:rPr>
          <w:rFonts w:ascii="Lato" w:hAnsi="Lato"/>
          <w:color w:val="4A4A4A"/>
        </w:rPr>
        <w:t xml:space="preserve">. (2010) LPELR-2109(SC), the apex Court held as follows on the interpretation to be accorded the word ‘shall’ in a statute, “The word shall when used in a </w:t>
      </w:r>
      <w:proofErr w:type="gramStart"/>
      <w:r>
        <w:rPr>
          <w:rFonts w:ascii="Lato" w:hAnsi="Lato"/>
          <w:color w:val="4A4A4A"/>
        </w:rPr>
        <w:t>statutory provision imports</w:t>
      </w:r>
      <w:proofErr w:type="gramEnd"/>
      <w:r>
        <w:rPr>
          <w:rFonts w:ascii="Lato" w:hAnsi="Lato"/>
          <w:color w:val="4A4A4A"/>
        </w:rPr>
        <w:t xml:space="preserve"> that a thing must be done. It is a form of command or mandate. It is not permissive, it is mandatory. The word shall in its ordinary meaning is a word of command which is normally given a compulsory meaning as it is intended to denote obligation. </w:t>
      </w:r>
      <w:proofErr w:type="spellStart"/>
      <w:r>
        <w:rPr>
          <w:rFonts w:ascii="Lato" w:hAnsi="Lato"/>
          <w:color w:val="4A4A4A"/>
        </w:rPr>
        <w:t>Bamaiyi</w:t>
      </w:r>
      <w:proofErr w:type="spellEnd"/>
      <w:r>
        <w:rPr>
          <w:rFonts w:ascii="Lato" w:hAnsi="Lato"/>
          <w:color w:val="4A4A4A"/>
        </w:rPr>
        <w:t xml:space="preserve"> V. A.G. Federation (2001) 12 NWLR Pt. 722 pg. 468 </w:t>
      </w:r>
      <w:proofErr w:type="spellStart"/>
      <w:r>
        <w:rPr>
          <w:rFonts w:ascii="Lato" w:hAnsi="Lato"/>
          <w:color w:val="4A4A4A"/>
        </w:rPr>
        <w:t>Ifezue</w:t>
      </w:r>
      <w:proofErr w:type="spellEnd"/>
      <w:r>
        <w:rPr>
          <w:rFonts w:ascii="Lato" w:hAnsi="Lato"/>
          <w:color w:val="4A4A4A"/>
        </w:rPr>
        <w:t xml:space="preserve"> V. </w:t>
      </w:r>
      <w:proofErr w:type="spellStart"/>
      <w:r>
        <w:rPr>
          <w:rFonts w:ascii="Lato" w:hAnsi="Lato"/>
          <w:color w:val="4A4A4A"/>
        </w:rPr>
        <w:t>Mbadugha</w:t>
      </w:r>
      <w:proofErr w:type="spellEnd"/>
      <w:r>
        <w:rPr>
          <w:rFonts w:ascii="Lato" w:hAnsi="Lato"/>
          <w:color w:val="4A4A4A"/>
        </w:rPr>
        <w:t xml:space="preserve"> (1984) 1 SCNLR pg. 427 Chukwuka V. </w:t>
      </w:r>
      <w:proofErr w:type="spellStart"/>
      <w:r>
        <w:rPr>
          <w:rFonts w:ascii="Lato" w:hAnsi="Lato"/>
          <w:color w:val="4A4A4A"/>
        </w:rPr>
        <w:t>Ezulike</w:t>
      </w:r>
      <w:proofErr w:type="spellEnd"/>
      <w:r>
        <w:rPr>
          <w:rFonts w:ascii="Lato" w:hAnsi="Lato"/>
          <w:color w:val="4A4A4A"/>
        </w:rPr>
        <w:t xml:space="preserve"> (1986) 5 NWLR pt. 45 pg. 892, Ngige V. Obi (2006) 14 NWLR pt. 991, pg. 1.” See also Chika </w:t>
      </w:r>
      <w:proofErr w:type="spellStart"/>
      <w:r>
        <w:rPr>
          <w:rFonts w:ascii="Lato" w:hAnsi="Lato"/>
          <w:color w:val="4A4A4A"/>
        </w:rPr>
        <w:t>Madumere</w:t>
      </w:r>
      <w:proofErr w:type="spellEnd"/>
      <w:r>
        <w:rPr>
          <w:rFonts w:ascii="Lato" w:hAnsi="Lato"/>
          <w:color w:val="4A4A4A"/>
        </w:rPr>
        <w:t xml:space="preserve"> and Anor V. Barrister Obinna Okwara and Anor (2013) LPELR-20752(SC).</w:t>
      </w:r>
    </w:p>
    <w:p w14:paraId="50AF6600" w14:textId="77777777" w:rsidR="00532803" w:rsidRDefault="00532803" w:rsidP="00532803">
      <w:pPr>
        <w:pStyle w:val="NormalWeb"/>
        <w:shd w:val="clear" w:color="auto" w:fill="FFFFFF"/>
        <w:spacing w:before="0" w:beforeAutospacing="0" w:after="225" w:afterAutospacing="0"/>
        <w:rPr>
          <w:rFonts w:ascii="Lato" w:hAnsi="Lato"/>
          <w:color w:val="4A4A4A"/>
        </w:rPr>
      </w:pPr>
      <w:r>
        <w:rPr>
          <w:rFonts w:ascii="Lato" w:hAnsi="Lato"/>
          <w:color w:val="4A4A4A"/>
        </w:rPr>
        <w:t>Furthermore, I thought of asking or enquiring about a question as to ‘why would it be fundamental and fatal to such an extent that </w:t>
      </w:r>
      <w:r>
        <w:rPr>
          <w:rFonts w:ascii="Lato" w:hAnsi="Lato"/>
          <w:color w:val="4A4A4A"/>
          <w:u w:val="single"/>
        </w:rPr>
        <w:t>the depositions which complied with Section 86 of the Evidence Act cannot save the entire depositions which offend against the said section 115(2) EA, which makes them (all) drowned by those which violated Section 87 of the Act and to ask or enquire ‘why is a Court of law not competent to pick depositions in an affidavit which violate Section 87 of the Act? The answer to these questions in my humble view, is because, provisions of a statute must be complied with by every court of law and in fact, every person.</w:t>
      </w:r>
    </w:p>
    <w:p w14:paraId="326A9CF0" w14:textId="59A7D499" w:rsidR="00532803" w:rsidRDefault="00532803"/>
    <w:sectPr w:rsidR="00532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803"/>
    <w:rsid w:val="00532803"/>
    <w:rsid w:val="008C6196"/>
    <w:rsid w:val="00A96B0B"/>
    <w:rsid w:val="00B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053321"/>
  <w15:chartTrackingRefBased/>
  <w15:docId w15:val="{F1A81925-0B91-4886-B1F5-4AB263DBA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280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0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318</Words>
  <Characters>1417</Characters>
  <Application>Microsoft Office Word</Application>
  <DocSecurity>0</DocSecurity>
  <Lines>21</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2023-10-16T16:53:00Z</dcterms:created>
  <dcterms:modified xsi:type="dcterms:W3CDTF">2023-10-16T16:59:00Z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803092fe-94c0-477f-8175-c98d9b210311</vt:lpwstr>
  </property>
</Properties>
</file>