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1000F2" w14:textId="07971177" w:rsidR="00D30BD3" w:rsidRDefault="008F42CD">
      <w:r>
        <w:t>RUTAM FINANCE COMPANY</w:t>
      </w:r>
      <w:r w:rsidR="00CE2E07">
        <w:t>’S</w:t>
      </w:r>
      <w:r w:rsidR="00981B6A">
        <w:t xml:space="preserve"> offer to purchase 100% </w:t>
      </w:r>
      <w:r>
        <w:t>Ikeja</w:t>
      </w:r>
      <w:r w:rsidR="00981B6A">
        <w:t xml:space="preserve"> </w:t>
      </w:r>
      <w:r>
        <w:t>Hotel PLC</w:t>
      </w:r>
      <w:r w:rsidR="00981B6A">
        <w:t xml:space="preserve"> shares in </w:t>
      </w:r>
      <w:r>
        <w:t>T</w:t>
      </w:r>
      <w:r w:rsidR="00981B6A">
        <w:t xml:space="preserve">ourist </w:t>
      </w:r>
      <w:r>
        <w:t>C</w:t>
      </w:r>
      <w:r w:rsidR="00981B6A">
        <w:t xml:space="preserve">ompany of Nigeria </w:t>
      </w:r>
      <w:r>
        <w:t>does</w:t>
      </w:r>
      <w:r w:rsidR="00981B6A">
        <w:t xml:space="preserve"> not apply to the Tag along clause</w:t>
      </w:r>
      <w:r w:rsidR="0003564B">
        <w:t xml:space="preserve"> in </w:t>
      </w:r>
      <w:r w:rsidR="00903190">
        <w:t xml:space="preserve">Article </w:t>
      </w:r>
      <w:proofErr w:type="gramStart"/>
      <w:r w:rsidR="00903190">
        <w:t xml:space="preserve">16 </w:t>
      </w:r>
      <w:r w:rsidR="00981B6A">
        <w:t xml:space="preserve"> in</w:t>
      </w:r>
      <w:proofErr w:type="gramEnd"/>
      <w:r w:rsidR="00981B6A">
        <w:t xml:space="preserve"> the</w:t>
      </w:r>
      <w:r>
        <w:t xml:space="preserve"> Shareholder’s </w:t>
      </w:r>
      <w:r w:rsidR="00981B6A">
        <w:t xml:space="preserve"> </w:t>
      </w:r>
      <w:r>
        <w:t>A</w:t>
      </w:r>
      <w:r w:rsidR="00981B6A">
        <w:t xml:space="preserve">greement as it only pertains to </w:t>
      </w:r>
      <w:r w:rsidR="005D1563">
        <w:t xml:space="preserve">if a third party offers to purchase shares in TCN constituting </w:t>
      </w:r>
      <w:r w:rsidR="00FA3642">
        <w:t xml:space="preserve">at least 45% of the entire issued share capital in TCN </w:t>
      </w:r>
      <w:r>
        <w:t xml:space="preserve"> and RUTAM </w:t>
      </w:r>
      <w:r w:rsidR="003E711A">
        <w:t xml:space="preserve">had made an offer for the purchase of 43% </w:t>
      </w:r>
      <w:r w:rsidR="006E0B45">
        <w:t>per cent</w:t>
      </w:r>
      <w:r w:rsidR="003E711A">
        <w:t xml:space="preserve"> </w:t>
      </w:r>
      <w:r w:rsidR="00CE2E07">
        <w:t>Shares</w:t>
      </w:r>
      <w:r w:rsidR="00716A8C">
        <w:t xml:space="preserve"> of Sun </w:t>
      </w:r>
      <w:r w:rsidR="006E0B45">
        <w:t>International</w:t>
      </w:r>
      <w:r w:rsidR="00716A8C">
        <w:t xml:space="preserve"> Company</w:t>
      </w:r>
      <w:r w:rsidR="004E4C43">
        <w:t>.</w:t>
      </w:r>
    </w:p>
    <w:p w14:paraId="02778666" w14:textId="30DFFDB5" w:rsidR="000C6A37" w:rsidRDefault="00903190">
      <w:r>
        <w:t xml:space="preserve">Whilst </w:t>
      </w:r>
      <w:r w:rsidR="00324FD8">
        <w:t xml:space="preserve">this offer will </w:t>
      </w:r>
      <w:r w:rsidR="006E0B45">
        <w:t xml:space="preserve">also </w:t>
      </w:r>
      <w:r w:rsidR="00324FD8">
        <w:t xml:space="preserve">not stand </w:t>
      </w:r>
      <w:r w:rsidR="008F59E2">
        <w:t>as article 15</w:t>
      </w:r>
      <w:r w:rsidR="008F59E2" w:rsidRPr="008F59E2">
        <w:t xml:space="preserve"> </w:t>
      </w:r>
      <w:r w:rsidR="008F59E2">
        <w:t xml:space="preserve">(drag along clause) of the </w:t>
      </w:r>
      <w:r w:rsidR="00601D15">
        <w:t>S</w:t>
      </w:r>
      <w:r w:rsidR="008F59E2">
        <w:t>hareholders Agreements</w:t>
      </w:r>
      <w:r w:rsidR="001E29CC">
        <w:t xml:space="preserve"> </w:t>
      </w:r>
      <w:r w:rsidR="006E0B45">
        <w:t xml:space="preserve">as it </w:t>
      </w:r>
      <w:r w:rsidR="008F59E2">
        <w:t>provides</w:t>
      </w:r>
      <w:r w:rsidR="00E82F2D">
        <w:t xml:space="preserve"> </w:t>
      </w:r>
      <w:r w:rsidR="0058118A">
        <w:t xml:space="preserve">that </w:t>
      </w:r>
    </w:p>
    <w:p w14:paraId="34F44227" w14:textId="6E75C92D" w:rsidR="00903190" w:rsidRDefault="000C6A37">
      <w:r>
        <w:t>“</w:t>
      </w:r>
      <w:r w:rsidR="002158CB">
        <w:t>I</w:t>
      </w:r>
      <w:r w:rsidR="0058118A">
        <w:t>f</w:t>
      </w:r>
      <w:r w:rsidR="002158CB">
        <w:t xml:space="preserve"> a third party offers to purchase the shares of all the shareholders in TCN on</w:t>
      </w:r>
      <w:r>
        <w:t xml:space="preserve"> identical pro rata</w:t>
      </w:r>
      <w:r w:rsidR="009C12BC">
        <w:t xml:space="preserve"> terms and</w:t>
      </w:r>
      <w:r w:rsidR="00365077">
        <w:t xml:space="preserve"> provi</w:t>
      </w:r>
      <w:r w:rsidR="004E2A53">
        <w:t xml:space="preserve">ded </w:t>
      </w:r>
      <w:r w:rsidR="00365077">
        <w:t>tha</w:t>
      </w:r>
      <w:r w:rsidR="00AB58E9">
        <w:t xml:space="preserve">t shareholders </w:t>
      </w:r>
      <w:r w:rsidR="00A67B85">
        <w:t>holding not less than 60% of the i</w:t>
      </w:r>
      <w:r w:rsidR="00B82B49">
        <w:t>ssued share capital of TC</w:t>
      </w:r>
      <w:r w:rsidR="00262477">
        <w:t>N</w:t>
      </w:r>
      <w:r w:rsidR="00F7717C">
        <w:t xml:space="preserve"> accepts such offer </w:t>
      </w:r>
      <w:r w:rsidR="00CA07D2">
        <w:t xml:space="preserve">in respect of their </w:t>
      </w:r>
      <w:proofErr w:type="gramStart"/>
      <w:r w:rsidR="00CA07D2">
        <w:t>shares</w:t>
      </w:r>
      <w:r w:rsidR="00014912">
        <w:t xml:space="preserve"> </w:t>
      </w:r>
      <w:r w:rsidR="006A568B">
        <w:t>.</w:t>
      </w:r>
      <w:proofErr w:type="gramEnd"/>
      <w:r w:rsidR="006A568B">
        <w:t>(after first having complied with the relevant provisions of Article 12.2</w:t>
      </w:r>
      <w:r w:rsidR="001E29CC">
        <w:t xml:space="preserve"> and the remaining</w:t>
      </w:r>
    </w:p>
    <w:p w14:paraId="04D23BE0" w14:textId="1C39AB2F" w:rsidR="00716A8C" w:rsidRDefault="00716A8C">
      <w:proofErr w:type="spellStart"/>
      <w:r>
        <w:t>Rutam</w:t>
      </w:r>
      <w:proofErr w:type="spellEnd"/>
      <w:r>
        <w:t xml:space="preserve"> Finance Company has not offered to purchase all shares in an identical pro-rata term, instead it had offered to </w:t>
      </w:r>
      <w:proofErr w:type="gramStart"/>
      <w:r>
        <w:t>purchase  43.3</w:t>
      </w:r>
      <w:proofErr w:type="gramEnd"/>
      <w:r>
        <w:t xml:space="preserve">% of Sun </w:t>
      </w:r>
      <w:r w:rsidR="00601D15">
        <w:t>International</w:t>
      </w:r>
      <w:r>
        <w:t xml:space="preserve"> Company and after the opposition, now wants to purchase 100</w:t>
      </w:r>
      <w:r w:rsidR="006E0B45">
        <w:t>percent of IHPLC</w:t>
      </w:r>
    </w:p>
    <w:p w14:paraId="34401795" w14:textId="01A80BDF" w:rsidR="006E0B45" w:rsidRDefault="006E0B45">
      <w:r>
        <w:t>I</w:t>
      </w:r>
    </w:p>
    <w:p w14:paraId="777EBB7B" w14:textId="77777777" w:rsidR="006E0B45" w:rsidRDefault="006E0B45"/>
    <w:p w14:paraId="0918ACCC" w14:textId="48D25B9C" w:rsidR="006E0B45" w:rsidRDefault="006E0B45">
      <w:r>
        <w:t xml:space="preserve">This Offer does not also fall under Article 12.2 which is the major </w:t>
      </w:r>
      <w:r w:rsidR="00601D15">
        <w:t>clause</w:t>
      </w:r>
      <w:r w:rsidR="004E4C43">
        <w:t xml:space="preserve"> </w:t>
      </w:r>
      <w:r>
        <w:t>for Pre-emption and transfer of shares. The</w:t>
      </w:r>
      <w:r w:rsidR="00601D15">
        <w:t xml:space="preserve"> offer to purchase 100% Ikeja Hotel PLC shares in Tourist Company of Nigeria</w:t>
      </w:r>
      <w:r w:rsidR="00601D15">
        <w:t xml:space="preserve"> by RUTAM FINANCE COMPANY contradicts the Shareholder's Agreements and is a bid </w:t>
      </w:r>
      <w:r w:rsidR="004E4C43">
        <w:t xml:space="preserve">for </w:t>
      </w:r>
      <w:r w:rsidR="00601D15">
        <w:t xml:space="preserve">the company to avoid doing things the right way and according to the agreement and therefore </w:t>
      </w:r>
      <w:r w:rsidR="004E4C43">
        <w:t>is ii</w:t>
      </w:r>
    </w:p>
    <w:p w14:paraId="1BD1C2C8" w14:textId="77777777" w:rsidR="006E0B45" w:rsidRDefault="006E0B45"/>
    <w:p w14:paraId="45B46218" w14:textId="77777777" w:rsidR="006E0B45" w:rsidRDefault="006E0B45"/>
    <w:p w14:paraId="647EE35F" w14:textId="1B80B21E" w:rsidR="00014912" w:rsidRDefault="00014912"/>
    <w:p w14:paraId="1B210CCB" w14:textId="77777777" w:rsidR="00D30BD3" w:rsidRDefault="00D30BD3"/>
    <w:p w14:paraId="20D6A9BF" w14:textId="77777777" w:rsidR="002064E1" w:rsidRPr="002064E1" w:rsidRDefault="00CE2E07" w:rsidP="002064E1">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pPr>
      <w:r>
        <w:t xml:space="preserve"> </w:t>
      </w:r>
      <w:r w:rsidR="002064E1" w:rsidRPr="002064E1">
        <w:t>In evaluating RUTAM FINANCE COMPANY's proposition to acquire 100% of Ikeja Hotel PLC shares in Tourist Company of Nigeria (TCN), it is imperative to scrutinize its alignment with the contractual provisions outlined within the Shareholder's Agreement.</w:t>
      </w:r>
    </w:p>
    <w:p w14:paraId="663AC3B3" w14:textId="61229FD7" w:rsidR="002064E1" w:rsidRPr="002064E1" w:rsidRDefault="002064E1" w:rsidP="002064E1">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14:ligatures w14:val="none"/>
        </w:rPr>
      </w:pPr>
      <w:r w:rsidRPr="002064E1">
        <w:rPr>
          <w:rFonts w:ascii="Times New Roman" w:eastAsia="Times New Roman" w:hAnsi="Times New Roman" w:cs="Times New Roman"/>
          <w:kern w:val="0"/>
          <w:sz w:val="24"/>
          <w:szCs w:val="24"/>
          <w14:ligatures w14:val="none"/>
        </w:rPr>
        <w:t xml:space="preserve">Firstly, the offer does </w:t>
      </w:r>
      <w:proofErr w:type="gramStart"/>
      <w:r w:rsidRPr="002064E1">
        <w:rPr>
          <w:rFonts w:ascii="Times New Roman" w:eastAsia="Times New Roman" w:hAnsi="Times New Roman" w:cs="Times New Roman"/>
          <w:kern w:val="0"/>
          <w:sz w:val="24"/>
          <w:szCs w:val="24"/>
          <w14:ligatures w14:val="none"/>
        </w:rPr>
        <w:t>not  the</w:t>
      </w:r>
      <w:proofErr w:type="gramEnd"/>
      <w:r w:rsidRPr="002064E1">
        <w:rPr>
          <w:rFonts w:ascii="Times New Roman" w:eastAsia="Times New Roman" w:hAnsi="Times New Roman" w:cs="Times New Roman"/>
          <w:kern w:val="0"/>
          <w:sz w:val="24"/>
          <w:szCs w:val="24"/>
          <w14:ligatures w14:val="none"/>
        </w:rPr>
        <w:t xml:space="preserve"> Tag Along clause delineated in Article 16 of the Shareholder's Agreement. This clause pertains exclusively to scenarios where a </w:t>
      </w:r>
      <w:proofErr w:type="gramStart"/>
      <w:r w:rsidRPr="002064E1">
        <w:rPr>
          <w:rFonts w:ascii="Times New Roman" w:eastAsia="Times New Roman" w:hAnsi="Times New Roman" w:cs="Times New Roman"/>
          <w:kern w:val="0"/>
          <w:sz w:val="24"/>
          <w:szCs w:val="24"/>
          <w14:ligatures w14:val="none"/>
        </w:rPr>
        <w:t>third party</w:t>
      </w:r>
      <w:proofErr w:type="gramEnd"/>
      <w:r w:rsidRPr="002064E1">
        <w:rPr>
          <w:rFonts w:ascii="Times New Roman" w:eastAsia="Times New Roman" w:hAnsi="Times New Roman" w:cs="Times New Roman"/>
          <w:kern w:val="0"/>
          <w:sz w:val="24"/>
          <w:szCs w:val="24"/>
          <w14:ligatures w14:val="none"/>
        </w:rPr>
        <w:t xml:space="preserve"> endeavors to procure shares in TCN amounting to no less than 45% of its entire issued share capital. Notably, RUTAM's proposal focuses on the acquisition of 43% of Sun International Company, thus falling outside the purview of this provision.</w:t>
      </w:r>
    </w:p>
    <w:p w14:paraId="77729685" w14:textId="77777777" w:rsidR="002064E1" w:rsidRPr="002064E1" w:rsidRDefault="002064E1" w:rsidP="002064E1">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14:ligatures w14:val="none"/>
        </w:rPr>
      </w:pPr>
      <w:r w:rsidRPr="002064E1">
        <w:rPr>
          <w:rFonts w:ascii="Times New Roman" w:eastAsia="Times New Roman" w:hAnsi="Times New Roman" w:cs="Times New Roman"/>
          <w:kern w:val="0"/>
          <w:sz w:val="24"/>
          <w:szCs w:val="24"/>
          <w14:ligatures w14:val="none"/>
        </w:rPr>
        <w:t xml:space="preserve">Secondly, the Drag Along clause, as articulated in Article 15 of the Shareholder's Agreement, mandates that if a third party presents an offer to purchase TCN shares from all shareholders on equivalent pro rata terms, and if shareholders holding at least 60% of the issued share capital accede to such an offer following compliance with the prerequisites outlined in Article 12.2, then acceptance of the offer becomes obligatory. However, RUTAM's proposal deviates from this </w:t>
      </w:r>
      <w:r w:rsidRPr="002064E1">
        <w:rPr>
          <w:rFonts w:ascii="Times New Roman" w:eastAsia="Times New Roman" w:hAnsi="Times New Roman" w:cs="Times New Roman"/>
          <w:kern w:val="0"/>
          <w:sz w:val="24"/>
          <w:szCs w:val="24"/>
          <w14:ligatures w14:val="none"/>
        </w:rPr>
        <w:lastRenderedPageBreak/>
        <w:t>stipulation as it does not encompass an offer for all TCN shares on uniform pro rata terms. Instead, RUTAM initially sought to acquire 43.3% of Sun International Company and subsequently expressed interest in securing 100% of IHPLC following opposition.</w:t>
      </w:r>
    </w:p>
    <w:p w14:paraId="02056D1F" w14:textId="77777777" w:rsidR="002064E1" w:rsidRDefault="002064E1" w:rsidP="002064E1">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14:ligatures w14:val="none"/>
        </w:rPr>
      </w:pPr>
      <w:r w:rsidRPr="002064E1">
        <w:rPr>
          <w:rFonts w:ascii="Times New Roman" w:eastAsia="Times New Roman" w:hAnsi="Times New Roman" w:cs="Times New Roman"/>
          <w:kern w:val="0"/>
          <w:sz w:val="24"/>
          <w:szCs w:val="24"/>
          <w14:ligatures w14:val="none"/>
        </w:rPr>
        <w:t>Furthermore, the offer fails to conform to the provisions delineated in Article 12.2, which constitutes the cornerstone of pre-emption and share transfer mechanisms.</w:t>
      </w:r>
    </w:p>
    <w:p w14:paraId="58769AC3" w14:textId="10A820CC" w:rsidR="005F475B" w:rsidRDefault="005F475B" w:rsidP="005F475B">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t xml:space="preserve">Additionally, it is imperative to emphasize that any transfer of shares, particularly one of such magnitude involving the entirety of </w:t>
      </w:r>
      <w:r>
        <w:t>transfer of such</w:t>
      </w:r>
      <w:r>
        <w:t xml:space="preserve"> shares in Tourist Company of Nigeria, necessitates the explicit consent of the shareholders. The shareholder's consent is a fundamental prerequisite before any such transfer can be deemed valid under the provisions of the Shareholder's Agreement.</w:t>
      </w:r>
    </w:p>
    <w:p w14:paraId="591C10AB" w14:textId="77777777" w:rsidR="005F475B" w:rsidRDefault="005F475B" w:rsidP="005F475B">
      <w:pPr>
        <w:pStyle w:val="z-TopofForm"/>
      </w:pPr>
      <w:r>
        <w:t>Top of Form</w:t>
      </w:r>
    </w:p>
    <w:p w14:paraId="5DE21444" w14:textId="77777777" w:rsidR="005F475B" w:rsidRPr="002064E1" w:rsidRDefault="005F475B" w:rsidP="002064E1">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14:ligatures w14:val="none"/>
        </w:rPr>
      </w:pPr>
    </w:p>
    <w:p w14:paraId="2537FB08" w14:textId="77777777" w:rsidR="002064E1" w:rsidRPr="002064E1" w:rsidRDefault="002064E1" w:rsidP="002064E1">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kern w:val="0"/>
          <w:sz w:val="24"/>
          <w:szCs w:val="24"/>
          <w14:ligatures w14:val="none"/>
        </w:rPr>
      </w:pPr>
      <w:r w:rsidRPr="002064E1">
        <w:rPr>
          <w:rFonts w:ascii="Times New Roman" w:eastAsia="Times New Roman" w:hAnsi="Times New Roman" w:cs="Times New Roman"/>
          <w:kern w:val="0"/>
          <w:sz w:val="24"/>
          <w:szCs w:val="24"/>
          <w14:ligatures w14:val="none"/>
        </w:rPr>
        <w:t>Consequently, RUTAM FINANCE COMPANY's endeavor to procure 100% of Ikeja Hotel PLC shares in Tourist Company of Nigeria stands in stark contradiction to the Shareholder's Agreement. This deviation from the agreed-upon terms represents a circumvention of established protocols, rendering the proposal legally invalid.</w:t>
      </w:r>
    </w:p>
    <w:p w14:paraId="6FA6214C" w14:textId="77777777" w:rsidR="002064E1" w:rsidRPr="002064E1" w:rsidRDefault="002064E1" w:rsidP="002064E1">
      <w:pPr>
        <w:pBdr>
          <w:bottom w:val="single" w:sz="6" w:space="1" w:color="auto"/>
        </w:pBdr>
        <w:spacing w:after="0" w:line="240" w:lineRule="auto"/>
        <w:jc w:val="center"/>
        <w:rPr>
          <w:rFonts w:ascii="Arial" w:eastAsia="Times New Roman" w:hAnsi="Arial" w:cs="Arial"/>
          <w:vanish/>
          <w:kern w:val="0"/>
          <w:sz w:val="16"/>
          <w:szCs w:val="16"/>
          <w14:ligatures w14:val="none"/>
        </w:rPr>
      </w:pPr>
      <w:r w:rsidRPr="002064E1">
        <w:rPr>
          <w:rFonts w:ascii="Arial" w:eastAsia="Times New Roman" w:hAnsi="Arial" w:cs="Arial"/>
          <w:vanish/>
          <w:kern w:val="0"/>
          <w:sz w:val="16"/>
          <w:szCs w:val="16"/>
          <w14:ligatures w14:val="none"/>
        </w:rPr>
        <w:t>Top of Form</w:t>
      </w:r>
    </w:p>
    <w:p w14:paraId="4512482D" w14:textId="535844B6" w:rsidR="003E51E1" w:rsidRDefault="003E51E1"/>
    <w:p w14:paraId="607A9198" w14:textId="77777777" w:rsidR="00CE2E07" w:rsidRDefault="00CE2E07"/>
    <w:sectPr w:rsidR="00CE2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B6A"/>
    <w:rsid w:val="00014912"/>
    <w:rsid w:val="0003564B"/>
    <w:rsid w:val="00097DE7"/>
    <w:rsid w:val="000C6A37"/>
    <w:rsid w:val="000E5DBE"/>
    <w:rsid w:val="001E06D1"/>
    <w:rsid w:val="001E29CC"/>
    <w:rsid w:val="002064E1"/>
    <w:rsid w:val="002158CB"/>
    <w:rsid w:val="00246C96"/>
    <w:rsid w:val="00262477"/>
    <w:rsid w:val="00324FD8"/>
    <w:rsid w:val="00365077"/>
    <w:rsid w:val="003D53FC"/>
    <w:rsid w:val="003E51E1"/>
    <w:rsid w:val="003E711A"/>
    <w:rsid w:val="00426A48"/>
    <w:rsid w:val="00474CAC"/>
    <w:rsid w:val="004E2A53"/>
    <w:rsid w:val="004E4C43"/>
    <w:rsid w:val="0058118A"/>
    <w:rsid w:val="005D1563"/>
    <w:rsid w:val="005F475B"/>
    <w:rsid w:val="00601D15"/>
    <w:rsid w:val="006A2011"/>
    <w:rsid w:val="006A568B"/>
    <w:rsid w:val="006E0B45"/>
    <w:rsid w:val="00716A8C"/>
    <w:rsid w:val="0072553B"/>
    <w:rsid w:val="00833280"/>
    <w:rsid w:val="008F42CD"/>
    <w:rsid w:val="008F59E2"/>
    <w:rsid w:val="00903190"/>
    <w:rsid w:val="00981B6A"/>
    <w:rsid w:val="009C12BC"/>
    <w:rsid w:val="009E61B3"/>
    <w:rsid w:val="00A67B85"/>
    <w:rsid w:val="00AB58E9"/>
    <w:rsid w:val="00B04BEE"/>
    <w:rsid w:val="00B82B49"/>
    <w:rsid w:val="00BE5AE3"/>
    <w:rsid w:val="00C27245"/>
    <w:rsid w:val="00CA07D2"/>
    <w:rsid w:val="00CE2E07"/>
    <w:rsid w:val="00D30BD3"/>
    <w:rsid w:val="00E82F2D"/>
    <w:rsid w:val="00F123B3"/>
    <w:rsid w:val="00F7717C"/>
    <w:rsid w:val="00FA3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AF48FF"/>
  <w15:chartTrackingRefBased/>
  <w15:docId w15:val="{CA6CC58C-4629-4DB9-9246-D8723EFD2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64E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2064E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064E1"/>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5227920">
      <w:bodyDiv w:val="1"/>
      <w:marLeft w:val="0"/>
      <w:marRight w:val="0"/>
      <w:marTop w:val="0"/>
      <w:marBottom w:val="0"/>
      <w:divBdr>
        <w:top w:val="none" w:sz="0" w:space="0" w:color="auto"/>
        <w:left w:val="none" w:sz="0" w:space="0" w:color="auto"/>
        <w:bottom w:val="none" w:sz="0" w:space="0" w:color="auto"/>
        <w:right w:val="none" w:sz="0" w:space="0" w:color="auto"/>
      </w:divBdr>
      <w:divsChild>
        <w:div w:id="1227837647">
          <w:marLeft w:val="0"/>
          <w:marRight w:val="0"/>
          <w:marTop w:val="0"/>
          <w:marBottom w:val="0"/>
          <w:divBdr>
            <w:top w:val="single" w:sz="2" w:space="0" w:color="E3E3E3"/>
            <w:left w:val="single" w:sz="2" w:space="0" w:color="E3E3E3"/>
            <w:bottom w:val="single" w:sz="2" w:space="0" w:color="E3E3E3"/>
            <w:right w:val="single" w:sz="2" w:space="0" w:color="E3E3E3"/>
          </w:divBdr>
          <w:divsChild>
            <w:div w:id="985822351">
              <w:marLeft w:val="0"/>
              <w:marRight w:val="0"/>
              <w:marTop w:val="0"/>
              <w:marBottom w:val="0"/>
              <w:divBdr>
                <w:top w:val="single" w:sz="2" w:space="0" w:color="E3E3E3"/>
                <w:left w:val="single" w:sz="2" w:space="0" w:color="E3E3E3"/>
                <w:bottom w:val="single" w:sz="2" w:space="0" w:color="E3E3E3"/>
                <w:right w:val="single" w:sz="2" w:space="0" w:color="E3E3E3"/>
              </w:divBdr>
              <w:divsChild>
                <w:div w:id="257761824">
                  <w:marLeft w:val="0"/>
                  <w:marRight w:val="0"/>
                  <w:marTop w:val="0"/>
                  <w:marBottom w:val="0"/>
                  <w:divBdr>
                    <w:top w:val="single" w:sz="2" w:space="0" w:color="E3E3E3"/>
                    <w:left w:val="single" w:sz="2" w:space="0" w:color="E3E3E3"/>
                    <w:bottom w:val="single" w:sz="2" w:space="0" w:color="E3E3E3"/>
                    <w:right w:val="single" w:sz="2" w:space="0" w:color="E3E3E3"/>
                  </w:divBdr>
                  <w:divsChild>
                    <w:div w:id="335615782">
                      <w:marLeft w:val="0"/>
                      <w:marRight w:val="0"/>
                      <w:marTop w:val="0"/>
                      <w:marBottom w:val="0"/>
                      <w:divBdr>
                        <w:top w:val="single" w:sz="2" w:space="0" w:color="E3E3E3"/>
                        <w:left w:val="single" w:sz="2" w:space="0" w:color="E3E3E3"/>
                        <w:bottom w:val="single" w:sz="2" w:space="0" w:color="E3E3E3"/>
                        <w:right w:val="single" w:sz="2" w:space="0" w:color="E3E3E3"/>
                      </w:divBdr>
                      <w:divsChild>
                        <w:div w:id="174198795">
                          <w:marLeft w:val="0"/>
                          <w:marRight w:val="0"/>
                          <w:marTop w:val="0"/>
                          <w:marBottom w:val="0"/>
                          <w:divBdr>
                            <w:top w:val="single" w:sz="2" w:space="0" w:color="E3E3E3"/>
                            <w:left w:val="single" w:sz="2" w:space="0" w:color="E3E3E3"/>
                            <w:bottom w:val="single" w:sz="2" w:space="0" w:color="E3E3E3"/>
                            <w:right w:val="single" w:sz="2" w:space="0" w:color="E3E3E3"/>
                          </w:divBdr>
                          <w:divsChild>
                            <w:div w:id="1158114412">
                              <w:marLeft w:val="0"/>
                              <w:marRight w:val="0"/>
                              <w:marTop w:val="100"/>
                              <w:marBottom w:val="100"/>
                              <w:divBdr>
                                <w:top w:val="single" w:sz="2" w:space="0" w:color="E3E3E3"/>
                                <w:left w:val="single" w:sz="2" w:space="0" w:color="E3E3E3"/>
                                <w:bottom w:val="single" w:sz="2" w:space="0" w:color="E3E3E3"/>
                                <w:right w:val="single" w:sz="2" w:space="0" w:color="E3E3E3"/>
                              </w:divBdr>
                              <w:divsChild>
                                <w:div w:id="1328940688">
                                  <w:marLeft w:val="0"/>
                                  <w:marRight w:val="0"/>
                                  <w:marTop w:val="0"/>
                                  <w:marBottom w:val="0"/>
                                  <w:divBdr>
                                    <w:top w:val="single" w:sz="2" w:space="0" w:color="E3E3E3"/>
                                    <w:left w:val="single" w:sz="2" w:space="0" w:color="E3E3E3"/>
                                    <w:bottom w:val="single" w:sz="2" w:space="0" w:color="E3E3E3"/>
                                    <w:right w:val="single" w:sz="2" w:space="0" w:color="E3E3E3"/>
                                  </w:divBdr>
                                  <w:divsChild>
                                    <w:div w:id="431826145">
                                      <w:marLeft w:val="0"/>
                                      <w:marRight w:val="0"/>
                                      <w:marTop w:val="0"/>
                                      <w:marBottom w:val="0"/>
                                      <w:divBdr>
                                        <w:top w:val="single" w:sz="2" w:space="0" w:color="E3E3E3"/>
                                        <w:left w:val="single" w:sz="2" w:space="0" w:color="E3E3E3"/>
                                        <w:bottom w:val="single" w:sz="2" w:space="0" w:color="E3E3E3"/>
                                        <w:right w:val="single" w:sz="2" w:space="0" w:color="E3E3E3"/>
                                      </w:divBdr>
                                      <w:divsChild>
                                        <w:div w:id="622199238">
                                          <w:marLeft w:val="0"/>
                                          <w:marRight w:val="0"/>
                                          <w:marTop w:val="0"/>
                                          <w:marBottom w:val="0"/>
                                          <w:divBdr>
                                            <w:top w:val="single" w:sz="2" w:space="0" w:color="E3E3E3"/>
                                            <w:left w:val="single" w:sz="2" w:space="0" w:color="E3E3E3"/>
                                            <w:bottom w:val="single" w:sz="2" w:space="0" w:color="E3E3E3"/>
                                            <w:right w:val="single" w:sz="2" w:space="0" w:color="E3E3E3"/>
                                          </w:divBdr>
                                          <w:divsChild>
                                            <w:div w:id="2142919824">
                                              <w:marLeft w:val="0"/>
                                              <w:marRight w:val="0"/>
                                              <w:marTop w:val="0"/>
                                              <w:marBottom w:val="0"/>
                                              <w:divBdr>
                                                <w:top w:val="single" w:sz="2" w:space="0" w:color="E3E3E3"/>
                                                <w:left w:val="single" w:sz="2" w:space="0" w:color="E3E3E3"/>
                                                <w:bottom w:val="single" w:sz="2" w:space="0" w:color="E3E3E3"/>
                                                <w:right w:val="single" w:sz="2" w:space="0" w:color="E3E3E3"/>
                                              </w:divBdr>
                                              <w:divsChild>
                                                <w:div w:id="881402422">
                                                  <w:marLeft w:val="0"/>
                                                  <w:marRight w:val="0"/>
                                                  <w:marTop w:val="0"/>
                                                  <w:marBottom w:val="0"/>
                                                  <w:divBdr>
                                                    <w:top w:val="single" w:sz="2" w:space="0" w:color="E3E3E3"/>
                                                    <w:left w:val="single" w:sz="2" w:space="0" w:color="E3E3E3"/>
                                                    <w:bottom w:val="single" w:sz="2" w:space="0" w:color="E3E3E3"/>
                                                    <w:right w:val="single" w:sz="2" w:space="0" w:color="E3E3E3"/>
                                                  </w:divBdr>
                                                  <w:divsChild>
                                                    <w:div w:id="2037460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04289265">
          <w:marLeft w:val="0"/>
          <w:marRight w:val="0"/>
          <w:marTop w:val="0"/>
          <w:marBottom w:val="0"/>
          <w:divBdr>
            <w:top w:val="none" w:sz="0" w:space="0" w:color="auto"/>
            <w:left w:val="none" w:sz="0" w:space="0" w:color="auto"/>
            <w:bottom w:val="none" w:sz="0" w:space="0" w:color="auto"/>
            <w:right w:val="none" w:sz="0" w:space="0" w:color="auto"/>
          </w:divBdr>
        </w:div>
      </w:divsChild>
    </w:div>
    <w:div w:id="773211460">
      <w:bodyDiv w:val="1"/>
      <w:marLeft w:val="0"/>
      <w:marRight w:val="0"/>
      <w:marTop w:val="0"/>
      <w:marBottom w:val="0"/>
      <w:divBdr>
        <w:top w:val="none" w:sz="0" w:space="0" w:color="auto"/>
        <w:left w:val="none" w:sz="0" w:space="0" w:color="auto"/>
        <w:bottom w:val="none" w:sz="0" w:space="0" w:color="auto"/>
        <w:right w:val="none" w:sz="0" w:space="0" w:color="auto"/>
      </w:divBdr>
      <w:divsChild>
        <w:div w:id="1996913386">
          <w:marLeft w:val="0"/>
          <w:marRight w:val="0"/>
          <w:marTop w:val="0"/>
          <w:marBottom w:val="0"/>
          <w:divBdr>
            <w:top w:val="single" w:sz="2" w:space="0" w:color="E3E3E3"/>
            <w:left w:val="single" w:sz="2" w:space="0" w:color="E3E3E3"/>
            <w:bottom w:val="single" w:sz="2" w:space="0" w:color="E3E3E3"/>
            <w:right w:val="single" w:sz="2" w:space="0" w:color="E3E3E3"/>
          </w:divBdr>
          <w:divsChild>
            <w:div w:id="361631901">
              <w:marLeft w:val="0"/>
              <w:marRight w:val="0"/>
              <w:marTop w:val="0"/>
              <w:marBottom w:val="0"/>
              <w:divBdr>
                <w:top w:val="single" w:sz="2" w:space="0" w:color="E3E3E3"/>
                <w:left w:val="single" w:sz="2" w:space="0" w:color="E3E3E3"/>
                <w:bottom w:val="single" w:sz="2" w:space="0" w:color="E3E3E3"/>
                <w:right w:val="single" w:sz="2" w:space="0" w:color="E3E3E3"/>
              </w:divBdr>
              <w:divsChild>
                <w:div w:id="66197576">
                  <w:marLeft w:val="0"/>
                  <w:marRight w:val="0"/>
                  <w:marTop w:val="0"/>
                  <w:marBottom w:val="0"/>
                  <w:divBdr>
                    <w:top w:val="single" w:sz="2" w:space="0" w:color="E3E3E3"/>
                    <w:left w:val="single" w:sz="2" w:space="0" w:color="E3E3E3"/>
                    <w:bottom w:val="single" w:sz="2" w:space="0" w:color="E3E3E3"/>
                    <w:right w:val="single" w:sz="2" w:space="0" w:color="E3E3E3"/>
                  </w:divBdr>
                  <w:divsChild>
                    <w:div w:id="327251506">
                      <w:marLeft w:val="0"/>
                      <w:marRight w:val="0"/>
                      <w:marTop w:val="0"/>
                      <w:marBottom w:val="0"/>
                      <w:divBdr>
                        <w:top w:val="single" w:sz="2" w:space="0" w:color="E3E3E3"/>
                        <w:left w:val="single" w:sz="2" w:space="0" w:color="E3E3E3"/>
                        <w:bottom w:val="single" w:sz="2" w:space="0" w:color="E3E3E3"/>
                        <w:right w:val="single" w:sz="2" w:space="0" w:color="E3E3E3"/>
                      </w:divBdr>
                      <w:divsChild>
                        <w:div w:id="1849053821">
                          <w:marLeft w:val="0"/>
                          <w:marRight w:val="0"/>
                          <w:marTop w:val="0"/>
                          <w:marBottom w:val="0"/>
                          <w:divBdr>
                            <w:top w:val="single" w:sz="2" w:space="0" w:color="E3E3E3"/>
                            <w:left w:val="single" w:sz="2" w:space="0" w:color="E3E3E3"/>
                            <w:bottom w:val="single" w:sz="2" w:space="0" w:color="E3E3E3"/>
                            <w:right w:val="single" w:sz="2" w:space="0" w:color="E3E3E3"/>
                          </w:divBdr>
                          <w:divsChild>
                            <w:div w:id="1887446742">
                              <w:marLeft w:val="0"/>
                              <w:marRight w:val="0"/>
                              <w:marTop w:val="100"/>
                              <w:marBottom w:val="100"/>
                              <w:divBdr>
                                <w:top w:val="single" w:sz="2" w:space="0" w:color="E3E3E3"/>
                                <w:left w:val="single" w:sz="2" w:space="0" w:color="E3E3E3"/>
                                <w:bottom w:val="single" w:sz="2" w:space="0" w:color="E3E3E3"/>
                                <w:right w:val="single" w:sz="2" w:space="0" w:color="E3E3E3"/>
                              </w:divBdr>
                              <w:divsChild>
                                <w:div w:id="2105297885">
                                  <w:marLeft w:val="0"/>
                                  <w:marRight w:val="0"/>
                                  <w:marTop w:val="0"/>
                                  <w:marBottom w:val="0"/>
                                  <w:divBdr>
                                    <w:top w:val="single" w:sz="2" w:space="0" w:color="E3E3E3"/>
                                    <w:left w:val="single" w:sz="2" w:space="0" w:color="E3E3E3"/>
                                    <w:bottom w:val="single" w:sz="2" w:space="0" w:color="E3E3E3"/>
                                    <w:right w:val="single" w:sz="2" w:space="0" w:color="E3E3E3"/>
                                  </w:divBdr>
                                  <w:divsChild>
                                    <w:div w:id="530843465">
                                      <w:marLeft w:val="0"/>
                                      <w:marRight w:val="0"/>
                                      <w:marTop w:val="0"/>
                                      <w:marBottom w:val="0"/>
                                      <w:divBdr>
                                        <w:top w:val="single" w:sz="2" w:space="0" w:color="E3E3E3"/>
                                        <w:left w:val="single" w:sz="2" w:space="0" w:color="E3E3E3"/>
                                        <w:bottom w:val="single" w:sz="2" w:space="0" w:color="E3E3E3"/>
                                        <w:right w:val="single" w:sz="2" w:space="0" w:color="E3E3E3"/>
                                      </w:divBdr>
                                      <w:divsChild>
                                        <w:div w:id="1509323418">
                                          <w:marLeft w:val="0"/>
                                          <w:marRight w:val="0"/>
                                          <w:marTop w:val="0"/>
                                          <w:marBottom w:val="0"/>
                                          <w:divBdr>
                                            <w:top w:val="single" w:sz="2" w:space="0" w:color="E3E3E3"/>
                                            <w:left w:val="single" w:sz="2" w:space="0" w:color="E3E3E3"/>
                                            <w:bottom w:val="single" w:sz="2" w:space="0" w:color="E3E3E3"/>
                                            <w:right w:val="single" w:sz="2" w:space="0" w:color="E3E3E3"/>
                                          </w:divBdr>
                                          <w:divsChild>
                                            <w:div w:id="393436849">
                                              <w:marLeft w:val="0"/>
                                              <w:marRight w:val="0"/>
                                              <w:marTop w:val="0"/>
                                              <w:marBottom w:val="0"/>
                                              <w:divBdr>
                                                <w:top w:val="single" w:sz="2" w:space="0" w:color="E3E3E3"/>
                                                <w:left w:val="single" w:sz="2" w:space="0" w:color="E3E3E3"/>
                                                <w:bottom w:val="single" w:sz="2" w:space="0" w:color="E3E3E3"/>
                                                <w:right w:val="single" w:sz="2" w:space="0" w:color="E3E3E3"/>
                                              </w:divBdr>
                                              <w:divsChild>
                                                <w:div w:id="416286327">
                                                  <w:marLeft w:val="0"/>
                                                  <w:marRight w:val="0"/>
                                                  <w:marTop w:val="0"/>
                                                  <w:marBottom w:val="0"/>
                                                  <w:divBdr>
                                                    <w:top w:val="single" w:sz="2" w:space="0" w:color="E3E3E3"/>
                                                    <w:left w:val="single" w:sz="2" w:space="0" w:color="E3E3E3"/>
                                                    <w:bottom w:val="single" w:sz="2" w:space="0" w:color="E3E3E3"/>
                                                    <w:right w:val="single" w:sz="2" w:space="0" w:color="E3E3E3"/>
                                                  </w:divBdr>
                                                  <w:divsChild>
                                                    <w:div w:id="10360770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024748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597</Words>
  <Characters>3171</Characters>
  <Application>Microsoft Office Word</Application>
  <DocSecurity>0</DocSecurity>
  <Lines>53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Adewunmi</dc:creator>
  <cp:keywords/>
  <dc:description/>
  <cp:lastModifiedBy>Samsudeen Adebayo</cp:lastModifiedBy>
  <cp:revision>2</cp:revision>
  <dcterms:created xsi:type="dcterms:W3CDTF">2024-03-20T13:57:00Z</dcterms:created>
  <dcterms:modified xsi:type="dcterms:W3CDTF">2024-03-20T13:57:00Z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27211347-7c62-436b-bc0b-fc711de1b24d</vt:lpwstr>
  </property>
</Properties>
</file>