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67E72" w14:textId="791F02D1" w:rsidR="00544B04" w:rsidRDefault="00495371" w:rsidP="00495371">
      <w:r w:rsidRPr="00495371">
        <w:t>Section 342 of the </w:t>
      </w:r>
      <w:r w:rsidRPr="00495371">
        <w:rPr>
          <w:b/>
          <w:bCs/>
        </w:rPr>
        <w:t>Companies and Allied Matters Act, 2020</w:t>
      </w:r>
      <w:r w:rsidRPr="00495371">
        <w:t> provides for the procedure for major asset transactions.</w:t>
      </w:r>
      <w:r w:rsidR="00A544B4" w:rsidRPr="00495371">
        <w:t xml:space="preserve"> </w:t>
      </w:r>
      <w:r w:rsidR="00544B04">
        <w:t>It states that a company shall not sell, lease, exchange, or otherwise dispose of the whole, or substantially the whole, of its under</w:t>
      </w:r>
      <w:r w:rsidR="00CD67AF">
        <w:t>taking or the whole, or substantially the whole, of its assets unless the transaction is</w:t>
      </w:r>
      <w:r w:rsidR="00A544B4">
        <w:t xml:space="preserve"> approved by a special resolution of the company.</w:t>
      </w:r>
    </w:p>
    <w:p w14:paraId="06478C7C" w14:textId="77777777" w:rsidR="00A544B4" w:rsidRDefault="00A544B4" w:rsidP="00495371"/>
    <w:p w14:paraId="50A843FA" w14:textId="60BC5A33" w:rsidR="00A544B4" w:rsidRDefault="00A544B4" w:rsidP="00495371">
      <w:r>
        <w:t xml:space="preserve">A special resolution is a resolution passed by </w:t>
      </w:r>
      <w:r w:rsidR="00541D9B">
        <w:t>three-quarters</w:t>
      </w:r>
      <w:r>
        <w:t xml:space="preserve"> of the majority of members who are eligible to vote </w:t>
      </w:r>
      <w:r w:rsidR="00DC0940">
        <w:t xml:space="preserve">and do vote in person or by proxy at a general meeting of the company. </w:t>
      </w:r>
    </w:p>
    <w:p w14:paraId="36F4FE31" w14:textId="77777777" w:rsidR="00C654F7" w:rsidRDefault="00C654F7" w:rsidP="00495371"/>
    <w:p w14:paraId="7521C899" w14:textId="4FB27EBF" w:rsidR="00C654F7" w:rsidRDefault="00C654F7" w:rsidP="00495371">
      <w:r>
        <w:t>Section 342 requires every company to prepare with respect to each year a report by the directors in accordance with Schedule 4 of the Act. It also states penalties for non-compliance.</w:t>
      </w:r>
    </w:p>
    <w:p w14:paraId="1712A809" w14:textId="77777777" w:rsidR="00CB6E90" w:rsidRDefault="00CB6E90" w:rsidP="00495371"/>
    <w:p w14:paraId="68811953" w14:textId="4B9500DC" w:rsidR="00CB6E90" w:rsidRPr="00CB6E90" w:rsidRDefault="00CB6E90" w:rsidP="00CB6E90">
      <w:r w:rsidRPr="00CB6E90">
        <w:rPr>
          <w:b/>
          <w:bCs/>
        </w:rPr>
        <w:t>Section 342 of CAMA</w:t>
      </w:r>
      <w:r w:rsidRPr="00CB6E90">
        <w:t xml:space="preserve"> 2020 provides the procedure for major asset </w:t>
      </w:r>
      <w:r w:rsidR="00DB5CEC">
        <w:t>transactions</w:t>
      </w:r>
      <w:r w:rsidRPr="00CB6E90">
        <w:t>. This provision is absent in the old CAMA.</w:t>
      </w:r>
    </w:p>
    <w:p w14:paraId="3BB56297" w14:textId="77777777" w:rsidR="00CB6E90" w:rsidRPr="00CB6E90" w:rsidRDefault="00CB6E90" w:rsidP="00CB6E90">
      <w:r w:rsidRPr="00CB6E90">
        <w:t>A major asset transaction means a transaction or related series of transactions which includes:</w:t>
      </w:r>
    </w:p>
    <w:p w14:paraId="389401BD" w14:textId="77777777" w:rsidR="00CB6E90" w:rsidRPr="00CB6E90" w:rsidRDefault="00CB6E90" w:rsidP="00CB6E90">
      <w:pPr>
        <w:numPr>
          <w:ilvl w:val="0"/>
          <w:numId w:val="1"/>
        </w:numPr>
      </w:pPr>
      <w:r w:rsidRPr="00CB6E90">
        <w:t>The purchase or other acquisition of assets outside the usual course of the company’s business; and</w:t>
      </w:r>
    </w:p>
    <w:p w14:paraId="2113830F" w14:textId="77777777" w:rsidR="00CB6E90" w:rsidRPr="00CB6E90" w:rsidRDefault="00CB6E90" w:rsidP="00CB6E90">
      <w:pPr>
        <w:numPr>
          <w:ilvl w:val="0"/>
          <w:numId w:val="1"/>
        </w:numPr>
      </w:pPr>
      <w:r w:rsidRPr="00CB6E90">
        <w:t>Sale or other transfer outside the usual course of the company’s property or other rights the value of which, on the date of the company’s decision to complete the transaction is 50% or more of the book value of the company’s assets based on the company’s most recently compiled balance sheet.</w:t>
      </w:r>
    </w:p>
    <w:p w14:paraId="3F8BE2A3" w14:textId="6BDB3283" w:rsidR="00CB6E90" w:rsidRDefault="00CB6E90" w:rsidP="00495371">
      <w:r w:rsidRPr="00CB6E90">
        <w:t>The company's board of directors initiates a significant asset transaction, and they will advocate for the proposed transaction. The recommendation, along with a transaction summary, is presented for approval by the company's members during either an annual general meeting or an extraordinary general meeting, depending on the circumstances. All members entitled to meeting notices and voting rights will receive notice of the transaction, including the board's recommendation. Generally, major asset transactions necessitate a special resolution from the members, unless the company's memorandum of association stipulates that such approvals can be obtained through an ordinary resolution.</w:t>
      </w:r>
    </w:p>
    <w:p w14:paraId="34294551" w14:textId="77777777" w:rsidR="00626637" w:rsidRDefault="00626637" w:rsidP="00495371"/>
    <w:p w14:paraId="0D0BDB2B" w14:textId="661EB189" w:rsidR="00626637" w:rsidRPr="00495371" w:rsidRDefault="00626637" w:rsidP="00495371">
      <w:r>
        <w:t>Itemize the step that an existing shareholder need to take in disposing of his share</w:t>
      </w:r>
    </w:p>
    <w:sectPr w:rsidR="00626637" w:rsidRPr="004953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2A071B"/>
    <w:multiLevelType w:val="multilevel"/>
    <w:tmpl w:val="A746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650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371"/>
    <w:rsid w:val="001030C6"/>
    <w:rsid w:val="00394B99"/>
    <w:rsid w:val="003A047D"/>
    <w:rsid w:val="00495371"/>
    <w:rsid w:val="00541D9B"/>
    <w:rsid w:val="00544B04"/>
    <w:rsid w:val="00553259"/>
    <w:rsid w:val="005875CD"/>
    <w:rsid w:val="00626637"/>
    <w:rsid w:val="0069399B"/>
    <w:rsid w:val="006B282F"/>
    <w:rsid w:val="006F7E06"/>
    <w:rsid w:val="007502EC"/>
    <w:rsid w:val="00824F4A"/>
    <w:rsid w:val="008C6196"/>
    <w:rsid w:val="009740C7"/>
    <w:rsid w:val="009F714C"/>
    <w:rsid w:val="00A35BA0"/>
    <w:rsid w:val="00A544B4"/>
    <w:rsid w:val="00A73331"/>
    <w:rsid w:val="00A82433"/>
    <w:rsid w:val="00A96B0B"/>
    <w:rsid w:val="00AF575A"/>
    <w:rsid w:val="00B25966"/>
    <w:rsid w:val="00B41C5A"/>
    <w:rsid w:val="00BF73E0"/>
    <w:rsid w:val="00C654F7"/>
    <w:rsid w:val="00CB6E90"/>
    <w:rsid w:val="00CD67AF"/>
    <w:rsid w:val="00D07142"/>
    <w:rsid w:val="00DB5CEC"/>
    <w:rsid w:val="00DC0940"/>
    <w:rsid w:val="00E15470"/>
    <w:rsid w:val="00FE7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0F9FC6"/>
  <w15:chartTrackingRefBased/>
  <w15:docId w15:val="{6020094E-21EF-42DA-B6DC-23FB10366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95371"/>
    <w:rPr>
      <w:color w:val="0563C1" w:themeColor="hyperlink"/>
      <w:u w:val="single"/>
    </w:rPr>
  </w:style>
  <w:style w:type="character" w:styleId="UnresolvedMention">
    <w:name w:val="Unresolved Mention"/>
    <w:basedOn w:val="DefaultParagraphFont"/>
    <w:uiPriority w:val="99"/>
    <w:semiHidden/>
    <w:unhideWhenUsed/>
    <w:rsid w:val="004953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8518">
      <w:bodyDiv w:val="1"/>
      <w:marLeft w:val="0"/>
      <w:marRight w:val="0"/>
      <w:marTop w:val="0"/>
      <w:marBottom w:val="0"/>
      <w:divBdr>
        <w:top w:val="none" w:sz="0" w:space="0" w:color="auto"/>
        <w:left w:val="none" w:sz="0" w:space="0" w:color="auto"/>
        <w:bottom w:val="none" w:sz="0" w:space="0" w:color="auto"/>
        <w:right w:val="none" w:sz="0" w:space="0" w:color="auto"/>
      </w:divBdr>
    </w:div>
    <w:div w:id="71454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5376</TotalTime>
  <Pages>1</Pages>
  <Words>341</Words>
  <Characters>1808</Characters>
  <Application>Microsoft Office Word</Application>
  <DocSecurity>0</DocSecurity>
  <Lines>30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Samsudeen Adebayo</dc:creator>
  <cp:keywords/>
  <dc:description/>
  <cp:lastModifiedBy>Samsudeen Adebayo</cp:lastModifiedBy>
  <cp:revision>1</cp:revision>
  <dcterms:created xsi:type="dcterms:W3CDTF">2023-12-11T14:05:00Z</dcterms:created>
  <dcterms:modified xsi:type="dcterms:W3CDTF">2023-12-20T15:04:00Z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ea1aa5e6-8c05-466b-9b26-61001a74df20</vt:lpwstr>
  </property>
</Properties>
</file>