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AED1CE" w14:textId="77777777" w:rsidR="00445D15" w:rsidRDefault="00445D15" w:rsidP="00445D15">
      <w:r>
        <w:t>“Stare decisis” is a Latin legal term that refers to the principle of precedent, where courts are generally bound to follow previous decisions in similar cases. Here are 90 synonyms and related terms that convey the concept of precedent or the principle of stare decisis:</w:t>
      </w:r>
    </w:p>
    <w:p w14:paraId="5EB3A1B4" w14:textId="77777777" w:rsidR="00445D15" w:rsidRDefault="00445D15" w:rsidP="00445D15"/>
    <w:p w14:paraId="2C4F5660" w14:textId="77777777" w:rsidR="00445D15" w:rsidRDefault="00445D15" w:rsidP="00445D15">
      <w:r>
        <w:tab/>
        <w:t>1.</w:t>
      </w:r>
      <w:r>
        <w:tab/>
        <w:t>Precedent</w:t>
      </w:r>
    </w:p>
    <w:p w14:paraId="7AB16E7F" w14:textId="77777777" w:rsidR="00445D15" w:rsidRDefault="00445D15" w:rsidP="00445D15">
      <w:r>
        <w:tab/>
        <w:t>2.</w:t>
      </w:r>
      <w:r>
        <w:tab/>
        <w:t>Legal precedent</w:t>
      </w:r>
    </w:p>
    <w:p w14:paraId="03E9053D" w14:textId="77777777" w:rsidR="00445D15" w:rsidRDefault="00445D15" w:rsidP="00445D15">
      <w:r>
        <w:tab/>
        <w:t>3.</w:t>
      </w:r>
      <w:r>
        <w:tab/>
        <w:t>Binding precedent</w:t>
      </w:r>
    </w:p>
    <w:p w14:paraId="1D7A9575" w14:textId="77777777" w:rsidR="00445D15" w:rsidRDefault="00445D15" w:rsidP="00445D15">
      <w:r>
        <w:tab/>
        <w:t>4.</w:t>
      </w:r>
      <w:r>
        <w:tab/>
        <w:t>Judicial precedent</w:t>
      </w:r>
    </w:p>
    <w:p w14:paraId="02C46800" w14:textId="77777777" w:rsidR="00445D15" w:rsidRDefault="00445D15" w:rsidP="00445D15">
      <w:r>
        <w:tab/>
        <w:t>5.</w:t>
      </w:r>
      <w:r>
        <w:tab/>
        <w:t>Case law</w:t>
      </w:r>
    </w:p>
    <w:p w14:paraId="43D667D8" w14:textId="77777777" w:rsidR="00445D15" w:rsidRDefault="00445D15" w:rsidP="00445D15">
      <w:r>
        <w:tab/>
        <w:t>6.</w:t>
      </w:r>
      <w:r>
        <w:tab/>
        <w:t>Established practice</w:t>
      </w:r>
    </w:p>
    <w:p w14:paraId="135AAAE2" w14:textId="77777777" w:rsidR="00445D15" w:rsidRDefault="00445D15" w:rsidP="00445D15">
      <w:r>
        <w:tab/>
        <w:t>7.</w:t>
      </w:r>
      <w:r>
        <w:tab/>
        <w:t>Legal tradition</w:t>
      </w:r>
    </w:p>
    <w:p w14:paraId="185A4951" w14:textId="77777777" w:rsidR="00445D15" w:rsidRDefault="00445D15" w:rsidP="00445D15">
      <w:r>
        <w:tab/>
        <w:t>8.</w:t>
      </w:r>
      <w:r>
        <w:tab/>
        <w:t>Adherence to prior decisions</w:t>
      </w:r>
    </w:p>
    <w:p w14:paraId="5ABB5827" w14:textId="77777777" w:rsidR="00445D15" w:rsidRDefault="00445D15" w:rsidP="00445D15">
      <w:r>
        <w:tab/>
        <w:t>9.</w:t>
      </w:r>
      <w:r>
        <w:tab/>
        <w:t>Consistency in rulings</w:t>
      </w:r>
    </w:p>
    <w:p w14:paraId="6031C50E" w14:textId="77777777" w:rsidR="00445D15" w:rsidRDefault="00445D15" w:rsidP="00445D15">
      <w:r>
        <w:tab/>
        <w:t>10.</w:t>
      </w:r>
      <w:r>
        <w:tab/>
        <w:t>Past judgments</w:t>
      </w:r>
    </w:p>
    <w:p w14:paraId="706191B6" w14:textId="77777777" w:rsidR="00445D15" w:rsidRDefault="00445D15" w:rsidP="00445D15">
      <w:r>
        <w:tab/>
        <w:t>11.</w:t>
      </w:r>
      <w:r>
        <w:tab/>
        <w:t>Prior decisions</w:t>
      </w:r>
    </w:p>
    <w:p w14:paraId="6A1FD4F9" w14:textId="77777777" w:rsidR="00445D15" w:rsidRDefault="00445D15" w:rsidP="00445D15">
      <w:r>
        <w:tab/>
        <w:t>12.</w:t>
      </w:r>
      <w:r>
        <w:tab/>
        <w:t>Ruling consistency</w:t>
      </w:r>
    </w:p>
    <w:p w14:paraId="623A36FC" w14:textId="77777777" w:rsidR="00445D15" w:rsidRDefault="00445D15" w:rsidP="00445D15">
      <w:r>
        <w:tab/>
        <w:t>13.</w:t>
      </w:r>
      <w:r>
        <w:tab/>
        <w:t>Observance of precedent</w:t>
      </w:r>
    </w:p>
    <w:p w14:paraId="6E5C5C47" w14:textId="77777777" w:rsidR="00445D15" w:rsidRDefault="00445D15" w:rsidP="00445D15">
      <w:r>
        <w:tab/>
        <w:t>14.</w:t>
      </w:r>
      <w:r>
        <w:tab/>
        <w:t>Following previous cases</w:t>
      </w:r>
    </w:p>
    <w:p w14:paraId="684CFDDC" w14:textId="77777777" w:rsidR="00445D15" w:rsidRDefault="00445D15" w:rsidP="00445D15">
      <w:r>
        <w:tab/>
        <w:t>15.</w:t>
      </w:r>
      <w:r>
        <w:tab/>
        <w:t>Respect for prior rulings</w:t>
      </w:r>
    </w:p>
    <w:p w14:paraId="6CB3DAAE" w14:textId="77777777" w:rsidR="00445D15" w:rsidRDefault="00445D15" w:rsidP="00445D15">
      <w:r>
        <w:tab/>
        <w:t>16.</w:t>
      </w:r>
      <w:r>
        <w:tab/>
        <w:t>Judicial consistency</w:t>
      </w:r>
    </w:p>
    <w:p w14:paraId="4AD9256B" w14:textId="77777777" w:rsidR="00445D15" w:rsidRDefault="00445D15" w:rsidP="00445D15">
      <w:r>
        <w:tab/>
        <w:t>17.</w:t>
      </w:r>
      <w:r>
        <w:tab/>
        <w:t>Following the law of the case</w:t>
      </w:r>
    </w:p>
    <w:p w14:paraId="077D5C68" w14:textId="77777777" w:rsidR="00445D15" w:rsidRDefault="00445D15" w:rsidP="00445D15">
      <w:r>
        <w:tab/>
        <w:t>18.</w:t>
      </w:r>
      <w:r>
        <w:tab/>
        <w:t>Guided by earlier judgments</w:t>
      </w:r>
    </w:p>
    <w:p w14:paraId="6F4EAFC9" w14:textId="77777777" w:rsidR="00445D15" w:rsidRDefault="00445D15" w:rsidP="00445D15">
      <w:r>
        <w:tab/>
        <w:t>19.</w:t>
      </w:r>
      <w:r>
        <w:tab/>
        <w:t>Rule of law</w:t>
      </w:r>
    </w:p>
    <w:p w14:paraId="38BAA017" w14:textId="77777777" w:rsidR="00445D15" w:rsidRDefault="00445D15" w:rsidP="00445D15">
      <w:r>
        <w:tab/>
        <w:t>20.</w:t>
      </w:r>
      <w:r>
        <w:tab/>
        <w:t>Court’s earlier determinations</w:t>
      </w:r>
    </w:p>
    <w:p w14:paraId="6A9C65C0" w14:textId="77777777" w:rsidR="00445D15" w:rsidRDefault="00445D15" w:rsidP="00445D15">
      <w:r>
        <w:tab/>
        <w:t>21.</w:t>
      </w:r>
      <w:r>
        <w:tab/>
        <w:t>Applying existing judgments</w:t>
      </w:r>
    </w:p>
    <w:p w14:paraId="0CF856F6" w14:textId="77777777" w:rsidR="00445D15" w:rsidRDefault="00445D15" w:rsidP="00445D15">
      <w:r>
        <w:tab/>
        <w:t>22.</w:t>
      </w:r>
      <w:r>
        <w:tab/>
        <w:t>Uniformity in rulings</w:t>
      </w:r>
    </w:p>
    <w:p w14:paraId="2E2CD789" w14:textId="77777777" w:rsidR="00445D15" w:rsidRDefault="00445D15" w:rsidP="00445D15">
      <w:r>
        <w:tab/>
        <w:t>23.</w:t>
      </w:r>
      <w:r>
        <w:tab/>
        <w:t>Legal stability</w:t>
      </w:r>
    </w:p>
    <w:p w14:paraId="09557724" w14:textId="77777777" w:rsidR="00445D15" w:rsidRDefault="00445D15" w:rsidP="00445D15">
      <w:r>
        <w:tab/>
        <w:t>24.</w:t>
      </w:r>
      <w:r>
        <w:tab/>
        <w:t>Adhering to prior outcomes</w:t>
      </w:r>
    </w:p>
    <w:p w14:paraId="2EC867C9" w14:textId="77777777" w:rsidR="00445D15" w:rsidRDefault="00445D15" w:rsidP="00445D15">
      <w:r>
        <w:tab/>
        <w:t>25.</w:t>
      </w:r>
      <w:r>
        <w:tab/>
        <w:t>Obedience to precedent</w:t>
      </w:r>
    </w:p>
    <w:p w14:paraId="59425D57" w14:textId="77777777" w:rsidR="00445D15" w:rsidRDefault="00445D15" w:rsidP="00445D15">
      <w:r>
        <w:lastRenderedPageBreak/>
        <w:tab/>
        <w:t>26.</w:t>
      </w:r>
      <w:r>
        <w:tab/>
        <w:t>Past case outcomes</w:t>
      </w:r>
    </w:p>
    <w:p w14:paraId="6203ABD8" w14:textId="77777777" w:rsidR="00445D15" w:rsidRDefault="00445D15" w:rsidP="00445D15">
      <w:r>
        <w:tab/>
        <w:t>27.</w:t>
      </w:r>
      <w:r>
        <w:tab/>
        <w:t>Judicial tradition</w:t>
      </w:r>
    </w:p>
    <w:p w14:paraId="41E4641F" w14:textId="77777777" w:rsidR="00445D15" w:rsidRDefault="00445D15" w:rsidP="00445D15">
      <w:r>
        <w:tab/>
        <w:t>28.</w:t>
      </w:r>
      <w:r>
        <w:tab/>
        <w:t>Tradition of legal rulings</w:t>
      </w:r>
    </w:p>
    <w:p w14:paraId="71E1CD41" w14:textId="77777777" w:rsidR="00445D15" w:rsidRDefault="00445D15" w:rsidP="00445D15">
      <w:r>
        <w:tab/>
        <w:t>29.</w:t>
      </w:r>
      <w:r>
        <w:tab/>
        <w:t>Respect for established decisions</w:t>
      </w:r>
    </w:p>
    <w:p w14:paraId="7E8C2833" w14:textId="77777777" w:rsidR="00445D15" w:rsidRDefault="00445D15" w:rsidP="00445D15">
      <w:r>
        <w:tab/>
        <w:t>30.</w:t>
      </w:r>
      <w:r>
        <w:tab/>
        <w:t>Obeying prior court rulings</w:t>
      </w:r>
    </w:p>
    <w:p w14:paraId="61EF3AD0" w14:textId="77777777" w:rsidR="00445D15" w:rsidRDefault="00445D15" w:rsidP="00445D15">
      <w:r>
        <w:tab/>
        <w:t>31.</w:t>
      </w:r>
      <w:r>
        <w:tab/>
        <w:t>Respecting judicial history</w:t>
      </w:r>
    </w:p>
    <w:p w14:paraId="31B03B5E" w14:textId="77777777" w:rsidR="00445D15" w:rsidRDefault="00445D15" w:rsidP="00445D15">
      <w:r>
        <w:tab/>
        <w:t>32.</w:t>
      </w:r>
      <w:r>
        <w:tab/>
        <w:t>Consistent legal interpretation</w:t>
      </w:r>
    </w:p>
    <w:p w14:paraId="50E25E03" w14:textId="77777777" w:rsidR="00445D15" w:rsidRDefault="00445D15" w:rsidP="00445D15">
      <w:r>
        <w:tab/>
        <w:t>33.</w:t>
      </w:r>
      <w:r>
        <w:tab/>
        <w:t>Conformity with prior judgments</w:t>
      </w:r>
    </w:p>
    <w:p w14:paraId="173D8344" w14:textId="77777777" w:rsidR="00445D15" w:rsidRDefault="00445D15" w:rsidP="00445D15">
      <w:r>
        <w:tab/>
        <w:t>34.</w:t>
      </w:r>
      <w:r>
        <w:tab/>
        <w:t>Incorporating prior decisions</w:t>
      </w:r>
    </w:p>
    <w:p w14:paraId="2DE189F1" w14:textId="77777777" w:rsidR="00445D15" w:rsidRDefault="00445D15" w:rsidP="00445D15">
      <w:r>
        <w:tab/>
        <w:t>35.</w:t>
      </w:r>
      <w:r>
        <w:tab/>
        <w:t>Legal precedent doctrine</w:t>
      </w:r>
    </w:p>
    <w:p w14:paraId="4075ABE8" w14:textId="77777777" w:rsidR="00445D15" w:rsidRDefault="00445D15" w:rsidP="00445D15">
      <w:r>
        <w:tab/>
        <w:t>36.</w:t>
      </w:r>
      <w:r>
        <w:tab/>
        <w:t>Tradition of legal reasoning</w:t>
      </w:r>
    </w:p>
    <w:p w14:paraId="7D50B673" w14:textId="77777777" w:rsidR="00445D15" w:rsidRDefault="00445D15" w:rsidP="00445D15">
      <w:r>
        <w:tab/>
        <w:t>37.</w:t>
      </w:r>
      <w:r>
        <w:tab/>
        <w:t>Existing legal interpretations</w:t>
      </w:r>
    </w:p>
    <w:p w14:paraId="1C744B72" w14:textId="77777777" w:rsidR="00445D15" w:rsidRDefault="00445D15" w:rsidP="00445D15">
      <w:r>
        <w:tab/>
        <w:t>38.</w:t>
      </w:r>
      <w:r>
        <w:tab/>
        <w:t>Complying with earlier verdicts</w:t>
      </w:r>
    </w:p>
    <w:p w14:paraId="347F1D05" w14:textId="77777777" w:rsidR="00445D15" w:rsidRDefault="00445D15" w:rsidP="00445D15">
      <w:r>
        <w:tab/>
        <w:t>39.</w:t>
      </w:r>
      <w:r>
        <w:tab/>
        <w:t>Relying on past cases</w:t>
      </w:r>
    </w:p>
    <w:p w14:paraId="0B892309" w14:textId="77777777" w:rsidR="00445D15" w:rsidRDefault="00445D15" w:rsidP="00445D15">
      <w:r>
        <w:tab/>
        <w:t>40.</w:t>
      </w:r>
      <w:r>
        <w:tab/>
        <w:t>Precedent-based rulings</w:t>
      </w:r>
    </w:p>
    <w:p w14:paraId="2711B80F" w14:textId="77777777" w:rsidR="00445D15" w:rsidRDefault="00445D15" w:rsidP="00445D15">
      <w:r>
        <w:tab/>
        <w:t>41.</w:t>
      </w:r>
      <w:r>
        <w:tab/>
        <w:t>Legal consistency principle</w:t>
      </w:r>
    </w:p>
    <w:p w14:paraId="6DCEDC3B" w14:textId="77777777" w:rsidR="00445D15" w:rsidRDefault="00445D15" w:rsidP="00445D15">
      <w:r>
        <w:tab/>
        <w:t>42.</w:t>
      </w:r>
      <w:r>
        <w:tab/>
        <w:t>Court’s reliance on past decisions</w:t>
      </w:r>
    </w:p>
    <w:p w14:paraId="33E3B9E5" w14:textId="77777777" w:rsidR="00445D15" w:rsidRDefault="00445D15" w:rsidP="00445D15">
      <w:r>
        <w:tab/>
        <w:t>43.</w:t>
      </w:r>
      <w:r>
        <w:tab/>
        <w:t>Adherence to judicial history</w:t>
      </w:r>
    </w:p>
    <w:p w14:paraId="425F66C6" w14:textId="77777777" w:rsidR="00445D15" w:rsidRDefault="00445D15" w:rsidP="00445D15">
      <w:r>
        <w:tab/>
        <w:t>44.</w:t>
      </w:r>
      <w:r>
        <w:tab/>
        <w:t>Upholding prior judgments</w:t>
      </w:r>
    </w:p>
    <w:p w14:paraId="60F698F0" w14:textId="77777777" w:rsidR="00445D15" w:rsidRDefault="00445D15" w:rsidP="00445D15">
      <w:r>
        <w:tab/>
        <w:t>45.</w:t>
      </w:r>
      <w:r>
        <w:tab/>
        <w:t>Abiding by legal history</w:t>
      </w:r>
    </w:p>
    <w:p w14:paraId="6F561550" w14:textId="77777777" w:rsidR="00445D15" w:rsidRDefault="00445D15" w:rsidP="00445D15">
      <w:r>
        <w:tab/>
        <w:t>46.</w:t>
      </w:r>
      <w:r>
        <w:tab/>
        <w:t>Guided by established rulings</w:t>
      </w:r>
    </w:p>
    <w:p w14:paraId="547C8E01" w14:textId="77777777" w:rsidR="00445D15" w:rsidRDefault="00445D15" w:rsidP="00445D15">
      <w:r>
        <w:tab/>
        <w:t>47.</w:t>
      </w:r>
      <w:r>
        <w:tab/>
        <w:t>Uniform application of law</w:t>
      </w:r>
    </w:p>
    <w:p w14:paraId="4960A497" w14:textId="77777777" w:rsidR="00445D15" w:rsidRDefault="00445D15" w:rsidP="00445D15">
      <w:r>
        <w:tab/>
        <w:t>48.</w:t>
      </w:r>
      <w:r>
        <w:tab/>
        <w:t>Conformity with prior case law</w:t>
      </w:r>
    </w:p>
    <w:p w14:paraId="1B9701BC" w14:textId="77777777" w:rsidR="00445D15" w:rsidRDefault="00445D15" w:rsidP="00445D15">
      <w:r>
        <w:tab/>
        <w:t>49.</w:t>
      </w:r>
      <w:r>
        <w:tab/>
        <w:t>Maintaining legal stability</w:t>
      </w:r>
    </w:p>
    <w:p w14:paraId="0B2A4AB6" w14:textId="77777777" w:rsidR="00445D15" w:rsidRDefault="00445D15" w:rsidP="00445D15">
      <w:r>
        <w:tab/>
        <w:t>50.</w:t>
      </w:r>
      <w:r>
        <w:tab/>
        <w:t>Adhering to legal tradition</w:t>
      </w:r>
    </w:p>
    <w:p w14:paraId="7080F18B" w14:textId="77777777" w:rsidR="00445D15" w:rsidRDefault="00445D15" w:rsidP="00445D15">
      <w:r>
        <w:tab/>
        <w:t>51.</w:t>
      </w:r>
      <w:r>
        <w:tab/>
        <w:t>Following court history</w:t>
      </w:r>
    </w:p>
    <w:p w14:paraId="1DBF6200" w14:textId="77777777" w:rsidR="00445D15" w:rsidRDefault="00445D15" w:rsidP="00445D15">
      <w:r>
        <w:tab/>
        <w:t>52.</w:t>
      </w:r>
      <w:r>
        <w:tab/>
        <w:t>Respecting earlier case law</w:t>
      </w:r>
    </w:p>
    <w:p w14:paraId="521F6142" w14:textId="77777777" w:rsidR="00445D15" w:rsidRDefault="00445D15" w:rsidP="00445D15">
      <w:r>
        <w:tab/>
        <w:t>53.</w:t>
      </w:r>
      <w:r>
        <w:tab/>
        <w:t>Legal predictability</w:t>
      </w:r>
    </w:p>
    <w:p w14:paraId="18E2F0DA" w14:textId="77777777" w:rsidR="00445D15" w:rsidRDefault="00445D15" w:rsidP="00445D15">
      <w:r>
        <w:tab/>
        <w:t>54.</w:t>
      </w:r>
      <w:r>
        <w:tab/>
        <w:t>Historical legal interpretations</w:t>
      </w:r>
    </w:p>
    <w:p w14:paraId="553EA6CC" w14:textId="77777777" w:rsidR="00445D15" w:rsidRDefault="00445D15" w:rsidP="00445D15">
      <w:r>
        <w:lastRenderedPageBreak/>
        <w:tab/>
        <w:t>55.</w:t>
      </w:r>
      <w:r>
        <w:tab/>
        <w:t>Embracing judicial precedent</w:t>
      </w:r>
    </w:p>
    <w:p w14:paraId="5F91C483" w14:textId="77777777" w:rsidR="00445D15" w:rsidRDefault="00445D15" w:rsidP="00445D15">
      <w:r>
        <w:tab/>
        <w:t>56.</w:t>
      </w:r>
      <w:r>
        <w:tab/>
        <w:t>Ruling in accordance with past cases</w:t>
      </w:r>
    </w:p>
    <w:p w14:paraId="762CBEB6" w14:textId="77777777" w:rsidR="00445D15" w:rsidRDefault="00445D15" w:rsidP="00445D15">
      <w:r>
        <w:tab/>
        <w:t>57.</w:t>
      </w:r>
      <w:r>
        <w:tab/>
        <w:t>Incorporating prior interpretations</w:t>
      </w:r>
    </w:p>
    <w:p w14:paraId="2D9D4640" w14:textId="77777777" w:rsidR="00445D15" w:rsidRDefault="00445D15" w:rsidP="00445D15">
      <w:r>
        <w:tab/>
        <w:t>58.</w:t>
      </w:r>
      <w:r>
        <w:tab/>
        <w:t>Consistency in legal reasoning</w:t>
      </w:r>
    </w:p>
    <w:p w14:paraId="059CE217" w14:textId="77777777" w:rsidR="00445D15" w:rsidRDefault="00445D15" w:rsidP="00445D15">
      <w:r>
        <w:tab/>
        <w:t>59.</w:t>
      </w:r>
      <w:r>
        <w:tab/>
        <w:t>Tradition of case outcomes</w:t>
      </w:r>
    </w:p>
    <w:p w14:paraId="6E9A41DA" w14:textId="77777777" w:rsidR="00445D15" w:rsidRDefault="00445D15" w:rsidP="00445D15">
      <w:r>
        <w:tab/>
        <w:t>60.</w:t>
      </w:r>
      <w:r>
        <w:tab/>
        <w:t>Legal heritage</w:t>
      </w:r>
    </w:p>
    <w:p w14:paraId="2EDD3C8F" w14:textId="77777777" w:rsidR="00445D15" w:rsidRDefault="00445D15" w:rsidP="00445D15">
      <w:r>
        <w:tab/>
        <w:t>61.</w:t>
      </w:r>
      <w:r>
        <w:tab/>
        <w:t>Court’s past determinations</w:t>
      </w:r>
    </w:p>
    <w:p w14:paraId="7869173B" w14:textId="77777777" w:rsidR="00445D15" w:rsidRDefault="00445D15" w:rsidP="00445D15">
      <w:r>
        <w:tab/>
        <w:t>62.</w:t>
      </w:r>
      <w:r>
        <w:tab/>
        <w:t>Tradition of judicial rulings</w:t>
      </w:r>
    </w:p>
    <w:p w14:paraId="72AD381A" w14:textId="77777777" w:rsidR="00445D15" w:rsidRDefault="00445D15" w:rsidP="00445D15">
      <w:r>
        <w:tab/>
        <w:t>63.</w:t>
      </w:r>
      <w:r>
        <w:tab/>
        <w:t>Relying on previous verdicts</w:t>
      </w:r>
    </w:p>
    <w:p w14:paraId="7A4E3F71" w14:textId="77777777" w:rsidR="00445D15" w:rsidRDefault="00445D15" w:rsidP="00445D15">
      <w:r>
        <w:tab/>
        <w:t>64.</w:t>
      </w:r>
      <w:r>
        <w:tab/>
        <w:t>Precedent-setting decisions</w:t>
      </w:r>
    </w:p>
    <w:p w14:paraId="26E4D7F3" w14:textId="77777777" w:rsidR="00445D15" w:rsidRDefault="00445D15" w:rsidP="00445D15">
      <w:r>
        <w:tab/>
        <w:t>65.</w:t>
      </w:r>
      <w:r>
        <w:tab/>
        <w:t>Legal reliance on history</w:t>
      </w:r>
    </w:p>
    <w:p w14:paraId="343D4F88" w14:textId="77777777" w:rsidR="00445D15" w:rsidRDefault="00445D15" w:rsidP="00445D15">
      <w:r>
        <w:tab/>
        <w:t>66.</w:t>
      </w:r>
      <w:r>
        <w:tab/>
        <w:t>Prior legal opinions</w:t>
      </w:r>
    </w:p>
    <w:p w14:paraId="2F20EE79" w14:textId="77777777" w:rsidR="00445D15" w:rsidRDefault="00445D15" w:rsidP="00445D15">
      <w:r>
        <w:tab/>
        <w:t>67.</w:t>
      </w:r>
      <w:r>
        <w:tab/>
        <w:t>Court’s established practices</w:t>
      </w:r>
    </w:p>
    <w:p w14:paraId="1D69582C" w14:textId="77777777" w:rsidR="00445D15" w:rsidRDefault="00445D15" w:rsidP="00445D15">
      <w:r>
        <w:tab/>
        <w:t>68.</w:t>
      </w:r>
      <w:r>
        <w:tab/>
        <w:t>Tradition of legal rulings</w:t>
      </w:r>
    </w:p>
    <w:p w14:paraId="6D685D02" w14:textId="77777777" w:rsidR="00445D15" w:rsidRDefault="00445D15" w:rsidP="00445D15">
      <w:r>
        <w:tab/>
        <w:t>69.</w:t>
      </w:r>
      <w:r>
        <w:tab/>
        <w:t>Continuity in legal decisions</w:t>
      </w:r>
    </w:p>
    <w:p w14:paraId="57C50B70" w14:textId="77777777" w:rsidR="00445D15" w:rsidRDefault="00445D15" w:rsidP="00445D15">
      <w:r>
        <w:tab/>
        <w:t>70.</w:t>
      </w:r>
      <w:r>
        <w:tab/>
        <w:t>Judicial decision consistency</w:t>
      </w:r>
    </w:p>
    <w:p w14:paraId="3D54AF50" w14:textId="77777777" w:rsidR="00445D15" w:rsidRDefault="00445D15" w:rsidP="00445D15">
      <w:r>
        <w:tab/>
        <w:t>71.</w:t>
      </w:r>
      <w:r>
        <w:tab/>
        <w:t>Obeying case history</w:t>
      </w:r>
    </w:p>
    <w:p w14:paraId="74D671EA" w14:textId="77777777" w:rsidR="00445D15" w:rsidRDefault="00445D15" w:rsidP="00445D15">
      <w:r>
        <w:tab/>
        <w:t>72.</w:t>
      </w:r>
      <w:r>
        <w:tab/>
        <w:t>Historical legal outcomes</w:t>
      </w:r>
    </w:p>
    <w:p w14:paraId="61DD26C0" w14:textId="77777777" w:rsidR="00445D15" w:rsidRDefault="00445D15" w:rsidP="00445D15">
      <w:r>
        <w:tab/>
        <w:t>73.</w:t>
      </w:r>
      <w:r>
        <w:tab/>
        <w:t>Legal consistency doctrine</w:t>
      </w:r>
    </w:p>
    <w:p w14:paraId="7C24809E" w14:textId="77777777" w:rsidR="00445D15" w:rsidRDefault="00445D15" w:rsidP="00445D15">
      <w:r>
        <w:tab/>
        <w:t>74.</w:t>
      </w:r>
      <w:r>
        <w:tab/>
        <w:t>Court’s historical decisions</w:t>
      </w:r>
    </w:p>
    <w:p w14:paraId="1F672AAE" w14:textId="77777777" w:rsidR="00445D15" w:rsidRDefault="00445D15" w:rsidP="00445D15">
      <w:r>
        <w:tab/>
        <w:t>75.</w:t>
      </w:r>
      <w:r>
        <w:tab/>
        <w:t>Following established law</w:t>
      </w:r>
    </w:p>
    <w:p w14:paraId="53DD23A9" w14:textId="77777777" w:rsidR="00445D15" w:rsidRDefault="00445D15" w:rsidP="00445D15">
      <w:r>
        <w:tab/>
        <w:t>76.</w:t>
      </w:r>
      <w:r>
        <w:tab/>
        <w:t>Consistent legal application</w:t>
      </w:r>
    </w:p>
    <w:p w14:paraId="65ADEB0D" w14:textId="77777777" w:rsidR="00445D15" w:rsidRDefault="00445D15" w:rsidP="00445D15">
      <w:r>
        <w:tab/>
        <w:t>77.</w:t>
      </w:r>
      <w:r>
        <w:tab/>
        <w:t>Prior legal interpretations</w:t>
      </w:r>
    </w:p>
    <w:p w14:paraId="5C1F37B3" w14:textId="77777777" w:rsidR="00445D15" w:rsidRDefault="00445D15" w:rsidP="00445D15">
      <w:r>
        <w:tab/>
        <w:t>78.</w:t>
      </w:r>
      <w:r>
        <w:tab/>
        <w:t>Ruling based on precedent</w:t>
      </w:r>
    </w:p>
    <w:p w14:paraId="34A8B009" w14:textId="77777777" w:rsidR="00445D15" w:rsidRDefault="00445D15" w:rsidP="00445D15">
      <w:r>
        <w:tab/>
        <w:t>79.</w:t>
      </w:r>
      <w:r>
        <w:tab/>
        <w:t>Maintaining legal uniformity</w:t>
      </w:r>
    </w:p>
    <w:p w14:paraId="46761339" w14:textId="77777777" w:rsidR="00445D15" w:rsidRDefault="00445D15" w:rsidP="00445D15">
      <w:r>
        <w:tab/>
        <w:t>80.</w:t>
      </w:r>
      <w:r>
        <w:tab/>
        <w:t>Respecting prior court outcomes</w:t>
      </w:r>
    </w:p>
    <w:p w14:paraId="3ACC5643" w14:textId="77777777" w:rsidR="00445D15" w:rsidRDefault="00445D15" w:rsidP="00445D15">
      <w:r>
        <w:tab/>
        <w:t>81.</w:t>
      </w:r>
      <w:r>
        <w:tab/>
        <w:t>Guided by past decisions</w:t>
      </w:r>
    </w:p>
    <w:p w14:paraId="4C16190A" w14:textId="77777777" w:rsidR="00445D15" w:rsidRDefault="00445D15" w:rsidP="00445D15">
      <w:r>
        <w:tab/>
        <w:t>82.</w:t>
      </w:r>
      <w:r>
        <w:tab/>
        <w:t>Conformity with legal tradition</w:t>
      </w:r>
    </w:p>
    <w:p w14:paraId="06CB602A" w14:textId="77777777" w:rsidR="00445D15" w:rsidRDefault="00445D15" w:rsidP="00445D15">
      <w:r>
        <w:tab/>
        <w:t>83.</w:t>
      </w:r>
      <w:r>
        <w:tab/>
        <w:t>Embracing case law history</w:t>
      </w:r>
    </w:p>
    <w:p w14:paraId="4334E255" w14:textId="77777777" w:rsidR="00445D15" w:rsidRDefault="00445D15" w:rsidP="00445D15">
      <w:r>
        <w:lastRenderedPageBreak/>
        <w:tab/>
        <w:t>84.</w:t>
      </w:r>
      <w:r>
        <w:tab/>
        <w:t>Tradition of legal decisions</w:t>
      </w:r>
    </w:p>
    <w:p w14:paraId="5EDB9DC2" w14:textId="77777777" w:rsidR="00445D15" w:rsidRDefault="00445D15" w:rsidP="00445D15">
      <w:r>
        <w:tab/>
        <w:t>85.</w:t>
      </w:r>
      <w:r>
        <w:tab/>
        <w:t>Relying on precedent cases</w:t>
      </w:r>
    </w:p>
    <w:p w14:paraId="2A40153D" w14:textId="77777777" w:rsidR="00445D15" w:rsidRDefault="00445D15" w:rsidP="00445D15">
      <w:r>
        <w:tab/>
        <w:t>86.</w:t>
      </w:r>
      <w:r>
        <w:tab/>
        <w:t>Upholding past rulings</w:t>
      </w:r>
    </w:p>
    <w:p w14:paraId="777B7F00" w14:textId="77777777" w:rsidR="00445D15" w:rsidRDefault="00445D15" w:rsidP="00445D15">
      <w:r>
        <w:tab/>
        <w:t>87.</w:t>
      </w:r>
      <w:r>
        <w:tab/>
        <w:t>Legal predictability principle</w:t>
      </w:r>
    </w:p>
    <w:p w14:paraId="57C42BE5" w14:textId="77777777" w:rsidR="00445D15" w:rsidRDefault="00445D15" w:rsidP="00445D15">
      <w:r>
        <w:tab/>
        <w:t>88.</w:t>
      </w:r>
      <w:r>
        <w:tab/>
        <w:t>Prior case law</w:t>
      </w:r>
    </w:p>
    <w:p w14:paraId="1BD4C4A3" w14:textId="77777777" w:rsidR="00445D15" w:rsidRDefault="00445D15" w:rsidP="00445D15">
      <w:r>
        <w:tab/>
        <w:t>89.</w:t>
      </w:r>
      <w:r>
        <w:tab/>
        <w:t>Court’s historical judgments</w:t>
      </w:r>
    </w:p>
    <w:p w14:paraId="2B2AE399" w14:textId="4C886FE4" w:rsidR="00000000" w:rsidRDefault="00445D15" w:rsidP="00445D15">
      <w:r>
        <w:tab/>
        <w:t>90.</w:t>
      </w:r>
      <w:r>
        <w:tab/>
        <w:t>Following precedent-based reasoning</w:t>
      </w:r>
    </w:p>
    <w:sectPr w:rsidR="00DE7A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D15"/>
    <w:rsid w:val="00445D15"/>
    <w:rsid w:val="008C6196"/>
    <w:rsid w:val="00A96B0B"/>
    <w:rsid w:val="00BF73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F10BC"/>
  <w15:chartTrackingRefBased/>
  <w15:docId w15:val="{068C8C15-AD26-43B7-91EE-1D56EB49C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454</Words>
  <Characters>2591</Characters>
  <Application>Microsoft Office Word</Application>
  <DocSecurity>0</DocSecurity>
  <Lines>21</Lines>
  <Paragraphs>6</Paragraphs>
  <ScaleCrop>false</ScaleCrop>
  <Company/>
  <LinksUpToDate>false</LinksUpToDate>
  <CharactersWithSpaces>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Samsudeen Adebayo</dc:creator>
  <cp:keywords/>
  <dc:description/>
  <cp:lastModifiedBy>Samsudeen Adebayo</cp:lastModifiedBy>
  <cp:revision>1</cp:revision>
  <dcterms:created xsi:type="dcterms:W3CDTF">2023-08-23T09:56:00Z</dcterms:created>
  <dcterms:modified xsi:type="dcterms:W3CDTF">2023-08-23T09:57:00Z</dcterms:modified>
</cp:coreProperties>
</file>