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D2E9F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br/>
        <w:t>1. Financial Crime Academy, "What Is Records Retention? Why It Is Important for Organizations?", available at </w:t>
      </w:r>
      <w:hyperlink r:id="rId4" w:anchor=":~:text=Records%20retention%20is%20the%20process,legal%20documentation%20and%20disaster%20recovery" w:tgtFrame="_blank" w:history="1">
        <w:r>
          <w:rPr>
            <w:rStyle w:val="Hyperlink"/>
            <w:rFonts w:ascii="Open Sans" w:hAnsi="Open Sans" w:cs="Open Sans"/>
            <w:color w:val="2A3083"/>
            <w:sz w:val="17"/>
            <w:szCs w:val="17"/>
          </w:rPr>
          <w:t>https://financialcrimeacademy.org/what-is-records-retention/#:~:text=Records%20retention%20is%20the%20process,legal%20documentation%20and%20disaster%20recovery</w:t>
        </w:r>
      </w:hyperlink>
      <w:r>
        <w:rPr>
          <w:rFonts w:ascii="Open Sans" w:hAnsi="Open Sans" w:cs="Open Sans"/>
          <w:color w:val="212529"/>
          <w:sz w:val="17"/>
          <w:szCs w:val="17"/>
        </w:rPr>
        <w:t> accessed on 18</w:t>
      </w:r>
      <w:r>
        <w:rPr>
          <w:rFonts w:ascii="Open Sans" w:hAnsi="Open Sans" w:cs="Open Sans"/>
          <w:color w:val="212529"/>
          <w:sz w:val="13"/>
          <w:szCs w:val="13"/>
          <w:vertAlign w:val="superscript"/>
        </w:rPr>
        <w:t>th</w:t>
      </w:r>
      <w:r>
        <w:rPr>
          <w:rFonts w:ascii="Open Sans" w:hAnsi="Open Sans" w:cs="Open Sans"/>
          <w:color w:val="212529"/>
          <w:sz w:val="17"/>
          <w:szCs w:val="17"/>
        </w:rPr>
        <w:t> July 2023.</w:t>
      </w:r>
    </w:p>
    <w:p w14:paraId="5BF248DA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 xml:space="preserve">2. </w:t>
      </w:r>
      <w:proofErr w:type="spellStart"/>
      <w:r>
        <w:rPr>
          <w:rFonts w:ascii="Open Sans" w:hAnsi="Open Sans" w:cs="Open Sans"/>
          <w:color w:val="212529"/>
          <w:sz w:val="17"/>
          <w:szCs w:val="17"/>
        </w:rPr>
        <w:t>Shredall</w:t>
      </w:r>
      <w:proofErr w:type="spellEnd"/>
      <w:r>
        <w:rPr>
          <w:rFonts w:ascii="Open Sans" w:hAnsi="Open Sans" w:cs="Open Sans"/>
          <w:color w:val="212529"/>
          <w:sz w:val="17"/>
          <w:szCs w:val="17"/>
        </w:rPr>
        <w:t xml:space="preserve"> Group, "Document Retention Policy: Legal Requirements Guide", available at </w:t>
      </w:r>
      <w:hyperlink r:id="rId5" w:tgtFrame="_blank" w:history="1">
        <w:r>
          <w:rPr>
            <w:rStyle w:val="Hyperlink"/>
            <w:rFonts w:ascii="Open Sans" w:hAnsi="Open Sans" w:cs="Open Sans"/>
            <w:color w:val="2A3083"/>
            <w:sz w:val="17"/>
            <w:szCs w:val="17"/>
          </w:rPr>
          <w:t>https://www.shredall.co.uk/blog/document-retention-policy-1</w:t>
        </w:r>
      </w:hyperlink>
      <w:r>
        <w:rPr>
          <w:rFonts w:ascii="Open Sans" w:hAnsi="Open Sans" w:cs="Open Sans"/>
          <w:color w:val="212529"/>
          <w:sz w:val="17"/>
          <w:szCs w:val="17"/>
        </w:rPr>
        <w:t> accessed on 22</w:t>
      </w:r>
      <w:r>
        <w:rPr>
          <w:rFonts w:ascii="Open Sans" w:hAnsi="Open Sans" w:cs="Open Sans"/>
          <w:color w:val="212529"/>
          <w:sz w:val="13"/>
          <w:szCs w:val="13"/>
          <w:vertAlign w:val="superscript"/>
        </w:rPr>
        <w:t>nd</w:t>
      </w:r>
      <w:r>
        <w:rPr>
          <w:rFonts w:ascii="Open Sans" w:hAnsi="Open Sans" w:cs="Open Sans"/>
          <w:color w:val="212529"/>
          <w:sz w:val="17"/>
          <w:szCs w:val="17"/>
        </w:rPr>
        <w:t> August 2023.</w:t>
      </w:r>
    </w:p>
    <w:p w14:paraId="78E1AAC9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3. Data Protection Act, 2023.</w:t>
      </w:r>
    </w:p>
    <w:p w14:paraId="4ABF8137" w14:textId="0461C7D3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4. Nigeria Data Protection Regulation (NDPR) 2019.</w:t>
      </w:r>
    </w:p>
    <w:p w14:paraId="2FCCFF76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5. Section 24(1)(d) of the Data Protection Act 2023.</w:t>
      </w:r>
    </w:p>
    <w:p w14:paraId="66711B98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6. Article 2.1(c) of the NDPR, 2019.</w:t>
      </w:r>
    </w:p>
    <w:p w14:paraId="1C3C8C3C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7. Nigeria Data Protection Regulations (NDPR) - Implementation Framework, 2020.</w:t>
      </w:r>
    </w:p>
    <w:p w14:paraId="59DC907E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8. Section 8.2.</w:t>
      </w:r>
    </w:p>
    <w:p w14:paraId="7DA02289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 xml:space="preserve">9. </w:t>
      </w:r>
      <w:proofErr w:type="spellStart"/>
      <w:r>
        <w:rPr>
          <w:rFonts w:ascii="Open Sans" w:hAnsi="Open Sans" w:cs="Open Sans"/>
          <w:color w:val="212529"/>
          <w:sz w:val="17"/>
          <w:szCs w:val="17"/>
        </w:rPr>
        <w:t>Labour</w:t>
      </w:r>
      <w:proofErr w:type="spellEnd"/>
      <w:r>
        <w:rPr>
          <w:rFonts w:ascii="Open Sans" w:hAnsi="Open Sans" w:cs="Open Sans"/>
          <w:color w:val="212529"/>
          <w:sz w:val="17"/>
          <w:szCs w:val="17"/>
        </w:rPr>
        <w:t xml:space="preserve"> Act, Cap L1 LFN 2004.</w:t>
      </w:r>
    </w:p>
    <w:p w14:paraId="0359F023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10. Section 75(3).</w:t>
      </w:r>
    </w:p>
    <w:p w14:paraId="2C5E26B0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11. This fund is defunct and has metamorphosed into the National Social Insurance Trust Fund (NSITF).</w:t>
      </w:r>
    </w:p>
    <w:p w14:paraId="32FEFBB7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 xml:space="preserve">12. Section 75(4) of the </w:t>
      </w:r>
      <w:proofErr w:type="spellStart"/>
      <w:r>
        <w:rPr>
          <w:rFonts w:ascii="Open Sans" w:hAnsi="Open Sans" w:cs="Open Sans"/>
          <w:color w:val="212529"/>
          <w:sz w:val="17"/>
          <w:szCs w:val="17"/>
        </w:rPr>
        <w:t>Labour</w:t>
      </w:r>
      <w:proofErr w:type="spellEnd"/>
      <w:r>
        <w:rPr>
          <w:rFonts w:ascii="Open Sans" w:hAnsi="Open Sans" w:cs="Open Sans"/>
          <w:color w:val="212529"/>
          <w:sz w:val="17"/>
          <w:szCs w:val="17"/>
        </w:rPr>
        <w:t xml:space="preserve"> Act Cap L1 LFN 2004.</w:t>
      </w:r>
    </w:p>
    <w:p w14:paraId="7B0B63C8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17"/>
          <w:szCs w:val="17"/>
        </w:rPr>
      </w:pPr>
      <w:r>
        <w:rPr>
          <w:rFonts w:ascii="Open Sans" w:hAnsi="Open Sans" w:cs="Open Sans"/>
          <w:color w:val="212529"/>
          <w:sz w:val="17"/>
          <w:szCs w:val="17"/>
        </w:rPr>
        <w:t>13. Companies and Allied Matters Act, 2020.</w:t>
      </w:r>
    </w:p>
    <w:p w14:paraId="39684046" w14:textId="21E9CD05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  <w:shd w:val="clear" w:color="auto" w:fill="FFFFFF"/>
        </w:rPr>
        <w:t>14. Section 864.</w:t>
      </w:r>
      <w:r>
        <w:rPr>
          <w:rFonts w:ascii="Open Sans" w:hAnsi="Open Sans" w:cs="Open Sans"/>
          <w:color w:val="212529"/>
          <w:sz w:val="17"/>
          <w:szCs w:val="17"/>
        </w:rPr>
        <w:br/>
      </w:r>
      <w:r>
        <w:rPr>
          <w:rFonts w:ascii="Open Sans" w:hAnsi="Open Sans" w:cs="Open Sans"/>
          <w:color w:val="212529"/>
          <w:sz w:val="17"/>
          <w:szCs w:val="17"/>
        </w:rPr>
        <w:br/>
        <w:t>15. Companies Income Tax Act, (CITA) Cap C21 LFN 2004 (as amended).</w:t>
      </w:r>
    </w:p>
    <w:p w14:paraId="6F768283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16. Section 63.</w:t>
      </w:r>
    </w:p>
    <w:p w14:paraId="3079C790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17. Federal Inland Revenue Service (FIRS), "A Guide to Simplified Record Keeping", available at </w:t>
      </w:r>
      <w:hyperlink r:id="rId6" w:tgtFrame="_blank" w:history="1">
        <w:r>
          <w:rPr>
            <w:rStyle w:val="Hyperlink"/>
            <w:rFonts w:ascii="Open Sans" w:hAnsi="Open Sans" w:cs="Open Sans"/>
            <w:color w:val="2A3083"/>
            <w:sz w:val="17"/>
            <w:szCs w:val="17"/>
          </w:rPr>
          <w:t>https://www.firs.gov.ng/wp-content/uploads/2020/11/SIMPLE-RECORD-KEEPING-2017.pdf</w:t>
        </w:r>
      </w:hyperlink>
      <w:r>
        <w:rPr>
          <w:rFonts w:ascii="Open Sans" w:hAnsi="Open Sans" w:cs="Open Sans"/>
          <w:color w:val="212529"/>
          <w:sz w:val="17"/>
          <w:szCs w:val="17"/>
        </w:rPr>
        <w:t> accessed on 5</w:t>
      </w:r>
      <w:r>
        <w:rPr>
          <w:rFonts w:ascii="Open Sans" w:hAnsi="Open Sans" w:cs="Open Sans"/>
          <w:color w:val="212529"/>
          <w:sz w:val="13"/>
          <w:szCs w:val="13"/>
          <w:vertAlign w:val="superscript"/>
        </w:rPr>
        <w:t>th</w:t>
      </w:r>
      <w:r>
        <w:rPr>
          <w:rFonts w:ascii="Open Sans" w:hAnsi="Open Sans" w:cs="Open Sans"/>
          <w:color w:val="212529"/>
          <w:sz w:val="17"/>
          <w:szCs w:val="17"/>
        </w:rPr>
        <w:t> September 2023.</w:t>
      </w:r>
    </w:p>
    <w:p w14:paraId="4AE9AF69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18. The Cybercrime (Prohibition, Prevention etc.) Act 2015.</w:t>
      </w:r>
    </w:p>
    <w:p w14:paraId="01FB2FA8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19. Section 38.</w:t>
      </w:r>
    </w:p>
    <w:p w14:paraId="1C5FF1B6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20. The Consumer Code of Practice Regulations, 2007.</w:t>
      </w:r>
    </w:p>
    <w:p w14:paraId="27C89702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21. Section 35 of the Consumer Code of Practice Regulations, 2007.</w:t>
      </w:r>
    </w:p>
    <w:p w14:paraId="5555E192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t>22. Section 48.</w:t>
      </w:r>
    </w:p>
    <w:p w14:paraId="5ABB8092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  <w:r>
        <w:rPr>
          <w:rFonts w:ascii="Open Sans" w:hAnsi="Open Sans" w:cs="Open Sans"/>
          <w:color w:val="212529"/>
          <w:sz w:val="17"/>
          <w:szCs w:val="17"/>
        </w:rPr>
        <w:lastRenderedPageBreak/>
        <w:t>23. Section 23.</w:t>
      </w:r>
    </w:p>
    <w:p w14:paraId="6FE56A54" w14:textId="66403568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</w:p>
    <w:p w14:paraId="3D4269D8" w14:textId="77777777" w:rsidR="00110A57" w:rsidRDefault="00110A57" w:rsidP="00110A57">
      <w:pPr>
        <w:pStyle w:val="NormalWeb"/>
        <w:shd w:val="clear" w:color="auto" w:fill="FFFFFF"/>
        <w:spacing w:before="0" w:beforeAutospacing="0"/>
        <w:rPr>
          <w:rFonts w:ascii="Open Sans" w:hAnsi="Open Sans" w:cs="Open Sans"/>
          <w:color w:val="212529"/>
          <w:sz w:val="22"/>
          <w:szCs w:val="22"/>
        </w:rPr>
      </w:pPr>
    </w:p>
    <w:p w14:paraId="35C8F814" w14:textId="77777777" w:rsidR="00110A57" w:rsidRDefault="00110A57"/>
    <w:sectPr w:rsidR="00110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D3"/>
    <w:rsid w:val="00110A57"/>
    <w:rsid w:val="006F1B92"/>
    <w:rsid w:val="00791ED3"/>
    <w:rsid w:val="00853C33"/>
    <w:rsid w:val="008C6196"/>
    <w:rsid w:val="00A96B0B"/>
    <w:rsid w:val="00BF73E0"/>
    <w:rsid w:val="00F7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0957D3"/>
  <w15:chartTrackingRefBased/>
  <w15:docId w15:val="{F07DABDE-21EE-4744-A27D-1B57FA4F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1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10A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rs.gov.ng/wp-content/uploads/2020/11/SIMPLE-RECORD-KEEPING-2017.pdf" TargetMode="External"/><Relationship Id="rId5" Type="http://schemas.openxmlformats.org/officeDocument/2006/relationships/hyperlink" Target="https://www.shredall.co.uk/blog/document-retention-policy-1" TargetMode="External"/><Relationship Id="rId4" Type="http://schemas.openxmlformats.org/officeDocument/2006/relationships/hyperlink" Target="https://financialcrimeacademy.org/what-is-records-reten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1333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2023-10-16T16:29:00Z</dcterms:created>
  <dcterms:modified xsi:type="dcterms:W3CDTF">2023-10-16T16:29:00Z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ce4866ec-6a8e-480a-a9a8-823cf8aed886</vt:lpwstr>
  </property>
</Properties>
</file>