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autoSpaceDE/>
        <w:autoSpaceDN/>
        <w:jc w:val="center"/>
        <w:rPr>
          <w:rFonts w:eastAsia="Calibri"/>
        </w:rPr>
      </w:pPr>
      <w:bookmarkStart w:id="0" w:name="_Hlk158818029"/>
      <w:r>
        <w:rPr>
          <w:rFonts w:eastAsia="MS Mincho"/>
          <w:b/>
          <w:bCs/>
        </w:rPr>
        <w:t>Nigerian Law School</w:t>
      </w:r>
    </w:p>
    <w:p>
      <w:pPr>
        <w:pStyle w:val="style0"/>
        <w:widowControl/>
        <w:autoSpaceDE/>
        <w:autoSpaceDN/>
        <w:jc w:val="center"/>
        <w:rPr>
          <w:rFonts w:eastAsia="MS Mincho"/>
          <w:b/>
          <w:bCs/>
        </w:rPr>
      </w:pPr>
      <w:r>
        <w:rPr>
          <w:rFonts w:eastAsia="MS Mincho"/>
          <w:b/>
          <w:bCs/>
        </w:rPr>
        <w:t>Yenagoa Campus</w:t>
      </w:r>
    </w:p>
    <w:p>
      <w:pPr>
        <w:pStyle w:val="style0"/>
        <w:widowControl/>
        <w:autoSpaceDE/>
        <w:autoSpaceDN/>
        <w:jc w:val="center"/>
        <w:rPr>
          <w:rFonts w:eastAsia="MS Mincho"/>
          <w:b/>
          <w:bCs/>
        </w:rPr>
      </w:pPr>
      <w:r>
        <w:rPr>
          <w:rFonts w:eastAsia="MS Mincho"/>
          <w:b/>
          <w:bCs/>
        </w:rPr>
        <w:t>Civil Litigation Department</w:t>
      </w:r>
    </w:p>
    <w:p>
      <w:pPr>
        <w:pStyle w:val="style0"/>
        <w:widowControl/>
        <w:autoSpaceDE/>
        <w:autoSpaceDN/>
        <w:jc w:val="center"/>
        <w:rPr>
          <w:rFonts w:eastAsia="Calibri"/>
        </w:rPr>
      </w:pPr>
      <w:r>
        <w:rPr>
          <w:rFonts w:eastAsia="MS Mincho"/>
          <w:b/>
          <w:bCs/>
        </w:rPr>
        <w:t>202</w:t>
      </w:r>
      <w:r>
        <w:rPr>
          <w:rFonts w:eastAsia="MS Mincho"/>
          <w:b/>
          <w:bCs/>
        </w:rPr>
        <w:t>5</w:t>
      </w:r>
      <w:r>
        <w:rPr>
          <w:rFonts w:eastAsia="MS Mincho"/>
          <w:b/>
          <w:bCs/>
        </w:rPr>
        <w:t>/202</w:t>
      </w:r>
      <w:r>
        <w:rPr>
          <w:rFonts w:eastAsia="MS Mincho"/>
          <w:b/>
          <w:bCs/>
        </w:rPr>
        <w:t>6</w:t>
      </w:r>
      <w:r>
        <w:rPr>
          <w:rFonts w:eastAsia="MS Mincho"/>
          <w:b/>
          <w:bCs/>
        </w:rPr>
        <w:t xml:space="preserve"> Session</w:t>
      </w:r>
    </w:p>
    <w:p>
      <w:pPr>
        <w:pStyle w:val="style0"/>
        <w:widowControl/>
        <w:autoSpaceDE/>
        <w:autoSpaceDN/>
        <w:spacing w:after="200"/>
        <w:jc w:val="center"/>
        <w:rPr>
          <w:rFonts w:eastAsia="SimSun"/>
          <w:b/>
          <w:bCs/>
        </w:rPr>
      </w:pPr>
      <w:r>
        <w:rPr>
          <w:rFonts w:eastAsia="MS Mincho"/>
          <w:b/>
          <w:bCs/>
        </w:rPr>
        <w:t xml:space="preserve">Pre-class Tasks for </w:t>
      </w:r>
      <w:r>
        <w:rPr>
          <w:rFonts w:eastAsia="MS Mincho"/>
          <w:b/>
          <w:bCs/>
        </w:rPr>
        <w:t>0</w:t>
      </w:r>
      <w:r>
        <w:rPr>
          <w:rFonts w:eastAsia="MS Mincho"/>
          <w:b/>
          <w:bCs/>
          <w:lang w:val="en-US"/>
        </w:rPr>
        <w:t xml:space="preserve">8 </w:t>
      </w:r>
      <w:r>
        <w:rPr>
          <w:rFonts w:eastAsia="MS Mincho"/>
          <w:b/>
          <w:bCs/>
        </w:rPr>
        <w:t>May</w:t>
      </w:r>
      <w:r>
        <w:rPr>
          <w:rFonts w:eastAsia="MS Mincho"/>
          <w:b/>
          <w:bCs/>
          <w:lang w:val="en-US"/>
        </w:rPr>
        <w:t xml:space="preserve"> </w:t>
      </w:r>
      <w:r>
        <w:rPr>
          <w:rFonts w:eastAsia="MS Mincho"/>
          <w:b/>
          <w:bCs/>
        </w:rPr>
        <w:t>202</w:t>
      </w:r>
      <w:r>
        <w:rPr>
          <w:rFonts w:eastAsia="MS Mincho"/>
          <w:b/>
          <w:bCs/>
        </w:rPr>
        <w:t>5</w:t>
      </w:r>
    </w:p>
    <w:bookmarkEnd w:id="0"/>
    <w:p>
      <w:pPr>
        <w:pStyle w:val="style0"/>
        <w:jc w:val="both"/>
        <w:rPr>
          <w:b/>
        </w:rPr>
      </w:pPr>
    </w:p>
    <w:p>
      <w:pPr>
        <w:pStyle w:val="style0"/>
        <w:jc w:val="both"/>
        <w:rPr>
          <w:b/>
        </w:rPr>
      </w:pPr>
      <w:r>
        <w:rPr>
          <w:b/>
        </w:rPr>
        <w:t>WEEK 5</w:t>
      </w:r>
      <w:r>
        <w:rPr>
          <w:b/>
          <w:lang w:val="en-US"/>
        </w:rPr>
        <w:t xml:space="preserve"> – </w:t>
      </w:r>
      <w:r>
        <w:rPr>
          <w:b/>
        </w:rPr>
        <w:t xml:space="preserve">PRE-ACTION CONSIDERATIONS AND COMMENCEMENT OF ACTIONS IN MAGISTRATES’ COURT </w:t>
      </w:r>
    </w:p>
    <w:p>
      <w:pPr>
        <w:pStyle w:val="style0"/>
        <w:jc w:val="both"/>
        <w:rPr>
          <w:b/>
        </w:rPr>
      </w:pPr>
    </w:p>
    <w:p>
      <w:pPr>
        <w:pStyle w:val="style0"/>
        <w:jc w:val="both"/>
        <w:rPr>
          <w:b/>
        </w:rPr>
      </w:pPr>
      <w:r>
        <w:rPr>
          <w:b/>
        </w:rPr>
        <w:t>Contents</w:t>
      </w:r>
    </w:p>
    <w:p>
      <w:pPr>
        <w:pStyle w:val="style0"/>
        <w:jc w:val="both"/>
        <w:rPr/>
      </w:pPr>
      <w:r>
        <w:t xml:space="preserve">1.Preliminary consideration before commencing an action or defending an action viz: limitation periods, pre-action notices/conditions precedent, </w:t>
      </w:r>
      <w:r>
        <w:rPr>
          <w:i/>
        </w:rPr>
        <w:t>locus standi</w:t>
      </w:r>
      <w:r>
        <w:t xml:space="preserve">,  the appropriate venue for an action, cause of action, exhaustion of available remedies and their effect on the jurisdiction of a court, litigation costs, availability of alternative dispute resolution method and pre-action counselling, enforceability of judgment, immunities, Parties and legal capacities, ethics against frivolous actions or avoiding abuse of court process. </w:t>
      </w:r>
    </w:p>
    <w:p>
      <w:pPr>
        <w:pStyle w:val="style0"/>
        <w:jc w:val="both"/>
        <w:rPr/>
      </w:pPr>
      <w:r>
        <w:t>2.Reflections on the relevance of the following matters to preliminary considerations: interviewing and counselling skills, letter writing, duty to client, accountability, cost and charges.</w:t>
      </w:r>
    </w:p>
    <w:p>
      <w:pPr>
        <w:pStyle w:val="style0"/>
        <w:jc w:val="both"/>
        <w:rPr/>
      </w:pPr>
      <w:r>
        <w:t>3.Commencement of action in the Magistrates Court including the Small Claims Court in Lagos State.</w:t>
      </w:r>
    </w:p>
    <w:p>
      <w:pPr>
        <w:pStyle w:val="style0"/>
        <w:jc w:val="both"/>
        <w:rPr/>
      </w:pPr>
    </w:p>
    <w:p>
      <w:pPr>
        <w:pStyle w:val="style0"/>
        <w:jc w:val="both"/>
        <w:rPr>
          <w:b/>
        </w:rPr>
      </w:pPr>
      <w:r>
        <w:rPr>
          <w:b/>
        </w:rPr>
        <w:t>Outcomes</w:t>
      </w:r>
    </w:p>
    <w:p>
      <w:pPr>
        <w:pStyle w:val="style0"/>
        <w:jc w:val="both"/>
        <w:rPr/>
      </w:pPr>
      <w:r>
        <w:t>At the end of this lesson students would be able to:</w:t>
      </w:r>
    </w:p>
    <w:p>
      <w:pPr>
        <w:pStyle w:val="style0"/>
        <w:jc w:val="both"/>
        <w:rPr/>
      </w:pPr>
      <w:r>
        <w:t>i</w:t>
      </w:r>
      <w:r>
        <w:t>. list and explain various matters that need to be considered before commencing or defending an action;</w:t>
      </w:r>
    </w:p>
    <w:p>
      <w:pPr>
        <w:pStyle w:val="style0"/>
        <w:jc w:val="both"/>
        <w:rPr/>
      </w:pPr>
      <w:r>
        <w:t>ii. identify preliminary issues in a given case studies;</w:t>
      </w:r>
    </w:p>
    <w:p>
      <w:pPr>
        <w:pStyle w:val="style0"/>
        <w:jc w:val="both"/>
        <w:rPr/>
      </w:pPr>
      <w:r>
        <w:t xml:space="preserve">iii. discuss the relevance of the following subjects to preliminary consideration: interviewing and counselling skills, letter writing, duty to client, accountability, cost and charges; </w:t>
      </w:r>
    </w:p>
    <w:p>
      <w:pPr>
        <w:pStyle w:val="style0"/>
        <w:jc w:val="both"/>
        <w:rPr/>
      </w:pPr>
      <w:r>
        <w:t>iv. explain the general principles and procedure for commencing actions in the Magistrates Court and the Small Claims Court of Lagos State</w:t>
      </w:r>
    </w:p>
    <w:p>
      <w:pPr>
        <w:pStyle w:val="style0"/>
        <w:tabs>
          <w:tab w:val="left" w:leader="none" w:pos="1301"/>
        </w:tabs>
        <w:ind w:right="575"/>
        <w:jc w:val="both"/>
        <w:rPr/>
      </w:pPr>
      <w:r>
        <w:t xml:space="preserve">v. draft originating processes in Magistrates Court of Lagos State </w:t>
      </w:r>
    </w:p>
    <w:p>
      <w:pPr>
        <w:pStyle w:val="style0"/>
        <w:jc w:val="both"/>
        <w:rPr/>
      </w:pPr>
    </w:p>
    <w:p>
      <w:pPr>
        <w:pStyle w:val="style0"/>
        <w:jc w:val="both"/>
        <w:rPr>
          <w:b/>
        </w:rPr>
      </w:pPr>
      <w:r>
        <w:rPr>
          <w:b/>
        </w:rPr>
        <w:t>Activities before class</w:t>
      </w:r>
    </w:p>
    <w:p>
      <w:pPr>
        <w:pStyle w:val="style179"/>
        <w:numPr>
          <w:ilvl w:val="0"/>
          <w:numId w:val="1"/>
        </w:numPr>
        <w:jc w:val="both"/>
        <w:rPr/>
      </w:pPr>
      <w:r>
        <w:t>Students should read the topic in advance of the class.</w:t>
      </w:r>
    </w:p>
    <w:p>
      <w:pPr>
        <w:pStyle w:val="style179"/>
        <w:numPr>
          <w:ilvl w:val="0"/>
          <w:numId w:val="1"/>
        </w:numPr>
        <w:jc w:val="both"/>
        <w:rPr/>
      </w:pPr>
      <w:r>
        <w:t>Students should read case studies 1 and 2 in addition to other case studies to be provided by the tutor and identify in writing the preliminary issues in the case studies.</w:t>
      </w:r>
    </w:p>
    <w:p>
      <w:pPr>
        <w:pStyle w:val="style179"/>
        <w:numPr>
          <w:ilvl w:val="0"/>
          <w:numId w:val="1"/>
        </w:numPr>
        <w:jc w:val="both"/>
        <w:rPr/>
      </w:pPr>
      <w:r>
        <w:t xml:space="preserve">Students should make notes on the relevance of the following subjects to the preliminary issues: interviewing and counselling skills, letter writing, duty to client, accountability, cost and charges – 30 minutes. </w:t>
      </w:r>
    </w:p>
    <w:p>
      <w:pPr>
        <w:pStyle w:val="style179"/>
        <w:numPr>
          <w:ilvl w:val="0"/>
          <w:numId w:val="1"/>
        </w:numPr>
        <w:jc w:val="both"/>
        <w:rPr/>
      </w:pPr>
      <w:r>
        <w:t>Students should complete a claim to commence an action in the Magistrates Court using case study 1 as modified by Tutor.</w:t>
      </w:r>
    </w:p>
    <w:p>
      <w:pPr>
        <w:pStyle w:val="style0"/>
        <w:jc w:val="both"/>
        <w:rPr/>
      </w:pPr>
    </w:p>
    <w:p>
      <w:pPr>
        <w:pStyle w:val="style0"/>
        <w:jc w:val="both"/>
        <w:rPr>
          <w:b/>
        </w:rPr>
      </w:pPr>
      <w:r>
        <w:rPr>
          <w:b/>
        </w:rPr>
        <w:t>Activities in class</w:t>
      </w:r>
    </w:p>
    <w:p>
      <w:pPr>
        <w:pStyle w:val="style0"/>
        <w:jc w:val="both"/>
        <w:rPr/>
      </w:pPr>
      <w:r>
        <w:t>1. Tutor and students discuss the general principles and the procedure for commencing actions in the Lagos State Magistrate Court including the procedure in the Small Claims Courts – 30 minutes.</w:t>
      </w:r>
    </w:p>
    <w:p>
      <w:pPr>
        <w:pStyle w:val="style0"/>
        <w:jc w:val="both"/>
        <w:rPr/>
      </w:pPr>
      <w:r>
        <w:t>2. Students and Tutor brainstorm on the relevance of the following subjects to the preliminary issues: interviewing and counselling skills, letter writing, duty to client, accountability, cost and charges – 30 minutes.</w:t>
      </w:r>
    </w:p>
    <w:p>
      <w:pPr>
        <w:pStyle w:val="style0"/>
        <w:jc w:val="both"/>
        <w:rPr/>
      </w:pPr>
      <w:r>
        <w:t>3. Presentations of pre-class assignments on preliminary issues are made by students and discussions follow. Discussions to cover most preliminary issues whether identified in the cases or not – 60 minutes.</w:t>
      </w:r>
    </w:p>
    <w:p>
      <w:pPr>
        <w:pStyle w:val="style0"/>
        <w:jc w:val="both"/>
        <w:rPr>
          <w:b/>
        </w:rPr>
      </w:pPr>
    </w:p>
    <w:p>
      <w:pPr>
        <w:pStyle w:val="style0"/>
        <w:jc w:val="both"/>
        <w:rPr>
          <w:b/>
        </w:rPr>
      </w:pPr>
      <w:r>
        <w:rPr>
          <w:b/>
        </w:rPr>
        <w:t>30 MINUTES BREAK</w:t>
      </w:r>
    </w:p>
    <w:p>
      <w:pPr>
        <w:pStyle w:val="style0"/>
        <w:jc w:val="both"/>
        <w:rPr/>
      </w:pPr>
    </w:p>
    <w:p>
      <w:pPr>
        <w:pStyle w:val="style0"/>
        <w:jc w:val="both"/>
        <w:rPr/>
      </w:pPr>
      <w:r>
        <w:t>4. Tutor presents quiz on general principles and procedure for commencing actions in the Lagos State Magistrate Court and the Small Claims Courts and discussions follow.- 50 minutes.</w:t>
      </w:r>
    </w:p>
    <w:p>
      <w:pPr>
        <w:pStyle w:val="style0"/>
        <w:jc w:val="both"/>
        <w:rPr/>
      </w:pPr>
      <w:r>
        <w:t>5. Students make sample presentations of completed Claims in the Magistrates Court and discussions follow</w:t>
      </w:r>
    </w:p>
    <w:p>
      <w:pPr>
        <w:pStyle w:val="style0"/>
        <w:jc w:val="both"/>
        <w:rPr/>
      </w:pPr>
      <w:r>
        <w:t>– 1 hour.</w:t>
      </w:r>
    </w:p>
    <w:p>
      <w:pPr>
        <w:pStyle w:val="style0"/>
        <w:jc w:val="both"/>
        <w:rPr/>
      </w:pPr>
      <w:r>
        <w:t>6. General assessment – 10 minutes</w:t>
      </w:r>
    </w:p>
    <w:p>
      <w:pPr>
        <w:pStyle w:val="style0"/>
        <w:jc w:val="both"/>
        <w:rPr/>
      </w:pPr>
    </w:p>
    <w:p>
      <w:pPr>
        <w:pStyle w:val="style0"/>
        <w:jc w:val="both"/>
        <w:rPr/>
      </w:pPr>
      <w:r>
        <w:t>(NB: Students’ attention should also be drawn to Week 6 Pre-class activities).</w:t>
      </w:r>
    </w:p>
    <w:p>
      <w:pPr>
        <w:pStyle w:val="style0"/>
        <w:jc w:val="both"/>
        <w:rPr>
          <w:b/>
        </w:rPr>
      </w:pPr>
    </w:p>
    <w:p>
      <w:pPr>
        <w:pStyle w:val="style0"/>
        <w:jc w:val="both"/>
        <w:rPr>
          <w:b/>
        </w:rPr>
      </w:pPr>
    </w:p>
    <w:p>
      <w:pPr>
        <w:pStyle w:val="style0"/>
        <w:jc w:val="both"/>
        <w:rPr>
          <w:b/>
        </w:rPr>
      </w:pPr>
      <w:r>
        <w:rPr>
          <w:b/>
        </w:rPr>
        <w:t>CASE STUDIES</w:t>
      </w:r>
      <w:r>
        <w:rPr>
          <w:b/>
          <w:lang w:val="en-US"/>
        </w:rPr>
        <w:t xml:space="preserve"> AND QUESTIONS</w:t>
      </w:r>
    </w:p>
    <w:p>
      <w:pPr>
        <w:pStyle w:val="style0"/>
        <w:jc w:val="both"/>
        <w:rPr>
          <w:b/>
        </w:rPr>
      </w:pPr>
    </w:p>
    <w:p>
      <w:pPr>
        <w:pStyle w:val="style0"/>
        <w:jc w:val="both"/>
        <w:rPr>
          <w:b/>
        </w:rPr>
      </w:pPr>
      <w:r>
        <w:rPr>
          <w:b/>
        </w:rPr>
        <w:t xml:space="preserve"> CASE STUDY 1</w:t>
      </w:r>
    </w:p>
    <w:p>
      <w:pPr>
        <w:pStyle w:val="style0"/>
        <w:jc w:val="both"/>
        <w:rPr>
          <w:b/>
        </w:rPr>
      </w:pPr>
    </w:p>
    <w:p>
      <w:pPr>
        <w:pStyle w:val="style0"/>
        <w:jc w:val="both"/>
        <w:rPr>
          <w:b w:val="false"/>
          <w:bCs w:val="false"/>
        </w:rPr>
      </w:pPr>
      <w:r>
        <w:rPr>
          <w:b w:val="false"/>
          <w:bCs w:val="false"/>
        </w:rPr>
        <w:t>Crown Kitchen Ltd instituted an action against K &amp; T Ltd at the Lagos State High Court sitting in Ikeja, seeking:</w:t>
      </w:r>
    </w:p>
    <w:p>
      <w:pPr>
        <w:pStyle w:val="style0"/>
        <w:jc w:val="both"/>
        <w:rPr>
          <w:b w:val="false"/>
          <w:bCs w:val="false"/>
        </w:rPr>
      </w:pPr>
    </w:p>
    <w:p>
      <w:pPr>
        <w:pStyle w:val="style0"/>
        <w:jc w:val="both"/>
        <w:rPr>
          <w:b w:val="false"/>
          <w:bCs w:val="false"/>
        </w:rPr>
      </w:pPr>
      <w:r>
        <w:rPr>
          <w:b w:val="false"/>
          <w:bCs w:val="false"/>
        </w:rPr>
        <w:t>1. A declaration that the contract and the partnership agreement between the parties were valid and subsisting;</w:t>
      </w:r>
    </w:p>
    <w:p>
      <w:pPr>
        <w:pStyle w:val="style0"/>
        <w:jc w:val="both"/>
        <w:rPr>
          <w:b w:val="false"/>
          <w:bCs w:val="false"/>
        </w:rPr>
      </w:pPr>
    </w:p>
    <w:p>
      <w:pPr>
        <w:pStyle w:val="style0"/>
        <w:jc w:val="both"/>
        <w:rPr>
          <w:b w:val="false"/>
          <w:bCs w:val="false"/>
        </w:rPr>
      </w:pPr>
      <w:r>
        <w:rPr>
          <w:b w:val="false"/>
          <w:bCs w:val="false"/>
        </w:rPr>
        <w:t>2. An order of perpetual injunction restraining K &amp; T Ltd from converting 20 vehicles to its exclusive use;</w:t>
      </w:r>
    </w:p>
    <w:p>
      <w:pPr>
        <w:pStyle w:val="style0"/>
        <w:jc w:val="both"/>
        <w:rPr>
          <w:b w:val="false"/>
          <w:bCs w:val="false"/>
        </w:rPr>
      </w:pPr>
    </w:p>
    <w:p>
      <w:pPr>
        <w:pStyle w:val="style0"/>
        <w:jc w:val="both"/>
        <w:rPr>
          <w:b w:val="false"/>
          <w:bCs w:val="false"/>
        </w:rPr>
      </w:pPr>
      <w:r>
        <w:rPr>
          <w:b w:val="false"/>
          <w:bCs w:val="false"/>
        </w:rPr>
        <w:t>3. An order for division of the vehicles among the parties;</w:t>
      </w:r>
    </w:p>
    <w:p>
      <w:pPr>
        <w:pStyle w:val="style0"/>
        <w:jc w:val="both"/>
        <w:rPr>
          <w:b w:val="false"/>
          <w:bCs w:val="false"/>
        </w:rPr>
      </w:pPr>
    </w:p>
    <w:p>
      <w:pPr>
        <w:pStyle w:val="style0"/>
        <w:jc w:val="both"/>
        <w:rPr>
          <w:b w:val="false"/>
          <w:bCs w:val="false"/>
        </w:rPr>
      </w:pPr>
      <w:r>
        <w:rPr>
          <w:b w:val="false"/>
          <w:bCs w:val="false"/>
        </w:rPr>
        <w:t>4. A monetary claim of N</w:t>
      </w:r>
      <w:r>
        <w:rPr>
          <w:b w:val="false"/>
          <w:bCs w:val="false"/>
          <w:lang w:val="en-US"/>
        </w:rPr>
        <w:t>6</w:t>
      </w:r>
      <w:r>
        <w:rPr>
          <w:b w:val="false"/>
          <w:bCs w:val="false"/>
        </w:rPr>
        <w:t>.17 million, being proceeds from a contract executed between March and December 20</w:t>
      </w:r>
      <w:r>
        <w:rPr>
          <w:b w:val="false"/>
          <w:bCs w:val="false"/>
          <w:lang w:val="en-US"/>
        </w:rPr>
        <w:t>23</w:t>
      </w:r>
      <w:r>
        <w:rPr>
          <w:b w:val="false"/>
          <w:bCs w:val="false"/>
        </w:rPr>
        <w:t>.</w:t>
      </w:r>
    </w:p>
    <w:p>
      <w:pPr>
        <w:pStyle w:val="style0"/>
        <w:jc w:val="both"/>
        <w:rPr>
          <w:b w:val="false"/>
          <w:bCs w:val="false"/>
        </w:rPr>
      </w:pPr>
    </w:p>
    <w:p>
      <w:pPr>
        <w:pStyle w:val="style0"/>
        <w:jc w:val="both"/>
        <w:rPr>
          <w:b w:val="false"/>
          <w:bCs w:val="false"/>
        </w:rPr>
      </w:pPr>
      <w:r>
        <w:rPr>
          <w:b w:val="false"/>
          <w:bCs w:val="false"/>
        </w:rPr>
        <w:t>The contract was entered into in Ikeja, while its performance was intended for Ikoyi, Lagos, where K &amp; T Ltd maintains its offices. The agreement included a conciliation clause, requiring parties to submit disputes to conciliation before initiating litigation. Despite hearing that cases are handled more swiftly at the Magistrate’s Court (a court of summary jurisdiction), Crown Kitchen Ltd, through their solicitors, Okonkwo &amp; Co., filed an Originating Summons at the Lagos High Court, Ikeja. Upon being served, K &amp; T Ltd entered a conditional appearance and filed a preliminary objection, raising the following grounds:</w:t>
      </w:r>
    </w:p>
    <w:p>
      <w:pPr>
        <w:pStyle w:val="style0"/>
        <w:jc w:val="both"/>
        <w:rPr>
          <w:b w:val="false"/>
          <w:bCs w:val="false"/>
        </w:rPr>
      </w:pPr>
    </w:p>
    <w:p>
      <w:pPr>
        <w:pStyle w:val="style0"/>
        <w:jc w:val="both"/>
        <w:rPr>
          <w:b w:val="false"/>
          <w:bCs w:val="false"/>
        </w:rPr>
      </w:pPr>
      <w:r>
        <w:rPr>
          <w:b w:val="false"/>
          <w:bCs w:val="false"/>
        </w:rPr>
        <w:t>1). The matter had not first been submitted to conciliation, as stipulated in the agreement;</w:t>
      </w:r>
    </w:p>
    <w:p>
      <w:pPr>
        <w:pStyle w:val="style0"/>
        <w:jc w:val="both"/>
        <w:rPr>
          <w:b w:val="false"/>
          <w:bCs w:val="false"/>
        </w:rPr>
      </w:pPr>
    </w:p>
    <w:p>
      <w:pPr>
        <w:pStyle w:val="style0"/>
        <w:jc w:val="both"/>
        <w:rPr>
          <w:b w:val="false"/>
          <w:bCs w:val="false"/>
        </w:rPr>
      </w:pPr>
      <w:r>
        <w:rPr>
          <w:b w:val="false"/>
          <w:bCs w:val="false"/>
        </w:rPr>
        <w:t>2). The action was commenced in the wrong judicial division;</w:t>
      </w:r>
    </w:p>
    <w:p>
      <w:pPr>
        <w:pStyle w:val="style0"/>
        <w:jc w:val="both"/>
        <w:rPr>
          <w:b w:val="false"/>
          <w:bCs w:val="false"/>
        </w:rPr>
      </w:pPr>
    </w:p>
    <w:p>
      <w:pPr>
        <w:pStyle w:val="style0"/>
        <w:jc w:val="both"/>
        <w:rPr>
          <w:b w:val="false"/>
          <w:bCs w:val="false"/>
        </w:rPr>
      </w:pPr>
      <w:r>
        <w:rPr>
          <w:b w:val="false"/>
          <w:bCs w:val="false"/>
        </w:rPr>
        <w:t>3). The action was commenced using the wrong originating process.</w:t>
      </w:r>
    </w:p>
    <w:p>
      <w:pPr>
        <w:pStyle w:val="style0"/>
        <w:jc w:val="both"/>
        <w:rPr>
          <w:b w:val="false"/>
          <w:bCs w:val="false"/>
        </w:rPr>
      </w:pPr>
    </w:p>
    <w:p>
      <w:pPr>
        <w:pStyle w:val="style0"/>
        <w:jc w:val="both"/>
        <w:rPr>
          <w:b w:val="false"/>
          <w:bCs w:val="false"/>
        </w:rPr>
      </w:pPr>
      <w:r>
        <w:rPr>
          <w:b w:val="false"/>
          <w:bCs w:val="false"/>
        </w:rPr>
        <w:t>The High Court overruled all three grounds of the preliminary objection. Subsequently, Crown Kitchen Ltd filed an application for interlocutory injunction to restrain K &amp; T from converting the 20 vehicles. K &amp; T did not file a counter-affidavit. At the hearing, Crown Kitchen's counsel argued that K &amp; T should not be heard, having not responded with a counter-affidavit. In their Statement of Claim, however, Crown Kitchen failed to plead the contract agreement.</w:t>
      </w:r>
    </w:p>
    <w:p>
      <w:pPr>
        <w:pStyle w:val="style0"/>
        <w:jc w:val="both"/>
        <w:rPr>
          <w:b w:val="false"/>
          <w:bCs w:val="false"/>
        </w:rPr>
      </w:pPr>
    </w:p>
    <w:p>
      <w:pPr>
        <w:pStyle w:val="style0"/>
        <w:jc w:val="both"/>
        <w:rPr>
          <w:b w:val="false"/>
          <w:bCs w:val="false"/>
        </w:rPr>
      </w:pPr>
      <w:r>
        <w:rPr>
          <w:b w:val="false"/>
          <w:bCs w:val="false"/>
        </w:rPr>
        <w:t>At the conclusion of trial, the court granted all the reliefs sought by Crown Kitchen. Aggrieved, K &amp; T Ltd filed a notice of appeal and intended to challenge, among other things, the ruling on their earlier preliminary objection. While their application for stay of execution was pending, Crown Kitchen’s counsel applied for and executed a writ of FIFA (Fi Fa). Days before the appeal hearing, Crown Kitchen’s counsel filed a preliminary objection, arguing that leave of court had not been obtained prior to filing the appeal.</w:t>
      </w:r>
      <w:r>
        <w:rPr>
          <w:b w:val="false"/>
          <w:bCs w:val="false"/>
          <w:lang w:val="en-US"/>
        </w:rPr>
        <w:t xml:space="preserve"> I</w:t>
      </w:r>
      <w:r>
        <w:rPr>
          <w:b w:val="false"/>
          <w:bCs w:val="false"/>
        </w:rPr>
        <w:t xml:space="preserve">n their notice of appeal, K &amp; T Ltd raised the issue of illegality of the contract for the first time. From 4 grounds of appeal, they formulated 12 issues for determination. On the hearing date, K &amp; T’s counsel was absent, though he had filed the Appellant’s Brief within time. The Court of Appeal, Lagos, eventually allowed the appeal in part. </w:t>
      </w:r>
    </w:p>
    <w:p>
      <w:pPr>
        <w:pStyle w:val="style0"/>
        <w:jc w:val="both"/>
        <w:rPr>
          <w:b w:val="false"/>
          <w:bCs w:val="false"/>
        </w:rPr>
      </w:pPr>
    </w:p>
    <w:p>
      <w:pPr>
        <w:pStyle w:val="style0"/>
        <w:jc w:val="both"/>
        <w:rPr>
          <w:b w:val="false"/>
          <w:bCs w:val="false"/>
        </w:rPr>
      </w:pPr>
      <w:r>
        <w:rPr>
          <w:b w:val="false"/>
          <w:bCs w:val="false"/>
          <w:lang w:val="en-US"/>
        </w:rPr>
        <w:t>Answer The Following Questions:</w:t>
      </w:r>
    </w:p>
    <w:p>
      <w:pPr>
        <w:pStyle w:val="style0"/>
        <w:jc w:val="both"/>
        <w:rPr>
          <w:b w:val="false"/>
          <w:bCs w:val="false"/>
        </w:rPr>
      </w:pPr>
    </w:p>
    <w:p>
      <w:pPr>
        <w:pStyle w:val="style0"/>
        <w:jc w:val="both"/>
        <w:rPr>
          <w:b w:val="false"/>
          <w:bCs w:val="false"/>
        </w:rPr>
      </w:pPr>
      <w:r>
        <w:rPr>
          <w:b w:val="false"/>
          <w:bCs w:val="false"/>
        </w:rPr>
        <w:t xml:space="preserve">(a) As lawyer to Crown Kitchen Ltd, state the </w:t>
      </w:r>
      <w:r>
        <w:rPr>
          <w:b w:val="false"/>
          <w:bCs w:val="false"/>
          <w:lang w:val="en-US"/>
        </w:rPr>
        <w:t xml:space="preserve">best </w:t>
      </w:r>
      <w:r>
        <w:rPr>
          <w:b w:val="false"/>
          <w:bCs w:val="false"/>
        </w:rPr>
        <w:t xml:space="preserve">court in which the action ought to have been filed. </w:t>
      </w:r>
      <w:r>
        <w:rPr>
          <w:b w:val="false"/>
          <w:bCs w:val="false"/>
          <w:lang w:val="en-US"/>
        </w:rPr>
        <w:t xml:space="preserve">Give reasons for your answer. </w:t>
      </w:r>
    </w:p>
    <w:p>
      <w:pPr>
        <w:pStyle w:val="style0"/>
        <w:jc w:val="both"/>
        <w:rPr>
          <w:b w:val="false"/>
          <w:bCs w:val="false"/>
        </w:rPr>
      </w:pPr>
    </w:p>
    <w:p>
      <w:pPr>
        <w:pStyle w:val="style0"/>
        <w:jc w:val="both"/>
        <w:rPr>
          <w:b w:val="false"/>
          <w:bCs w:val="false"/>
        </w:rPr>
      </w:pPr>
      <w:r>
        <w:rPr>
          <w:b w:val="false"/>
          <w:bCs w:val="false"/>
        </w:rPr>
        <w:t>(b) Comment on the role of the Court Registrar and the most expeditious procedure to be adopted by counsel to Crown Kitchen Ltd in filing the action in (a) above.</w:t>
      </w:r>
    </w:p>
    <w:p>
      <w:pPr>
        <w:pStyle w:val="style0"/>
        <w:jc w:val="both"/>
        <w:rPr>
          <w:b w:val="false"/>
          <w:bCs w:val="false"/>
        </w:rPr>
      </w:pPr>
    </w:p>
    <w:p>
      <w:pPr>
        <w:pStyle w:val="style0"/>
        <w:jc w:val="both"/>
        <w:rPr>
          <w:b w:val="false"/>
          <w:bCs w:val="false"/>
        </w:rPr>
      </w:pPr>
      <w:r>
        <w:rPr>
          <w:b w:val="false"/>
          <w:bCs w:val="false"/>
        </w:rPr>
        <w:t>(c) Assuming Crown Kitchen Ltd filed the matter at the Magistrates’ Court and by way of a Writ of Summons, comment on the validity of the action.</w:t>
      </w:r>
    </w:p>
    <w:p>
      <w:pPr>
        <w:pStyle w:val="style0"/>
        <w:jc w:val="both"/>
        <w:rPr>
          <w:b w:val="false"/>
          <w:bCs w:val="false"/>
        </w:rPr>
      </w:pPr>
    </w:p>
    <w:p>
      <w:pPr>
        <w:pStyle w:val="style0"/>
        <w:jc w:val="both"/>
        <w:rPr>
          <w:b w:val="false"/>
          <w:bCs w:val="false"/>
        </w:rPr>
      </w:pPr>
      <w:r>
        <w:rPr>
          <w:b w:val="false"/>
          <w:bCs w:val="false"/>
        </w:rPr>
        <w:t>(d) With the aid of legal authorities, state the various modes of commencing a civil action at the Magistrates’ Court. Which mode could apply to the present scenario, assuming the Magistrate’s Court had jurisdiction? Give reasons for your answer.</w:t>
      </w:r>
    </w:p>
    <w:p>
      <w:pPr>
        <w:pStyle w:val="style0"/>
        <w:jc w:val="both"/>
        <w:rPr>
          <w:b w:val="false"/>
          <w:bCs w:val="false"/>
        </w:rPr>
      </w:pPr>
    </w:p>
    <w:p>
      <w:pPr>
        <w:pStyle w:val="style0"/>
        <w:jc w:val="both"/>
        <w:rPr>
          <w:b w:val="false"/>
          <w:bCs w:val="false"/>
        </w:rPr>
      </w:pPr>
      <w:r>
        <w:rPr>
          <w:b w:val="false"/>
          <w:bCs w:val="false"/>
        </w:rPr>
        <w:t>(e) Assuming counsel to K &amp; T Ltd filed a preliminary objection that the court lacks jurisdiction because the matter had not first been submitted to conciliation, state the position of the law and the legal implications.</w:t>
      </w:r>
    </w:p>
    <w:p>
      <w:pPr>
        <w:pStyle w:val="style0"/>
        <w:jc w:val="both"/>
        <w:rPr>
          <w:b w:val="false"/>
          <w:bCs w:val="false"/>
        </w:rPr>
      </w:pPr>
    </w:p>
    <w:p>
      <w:pPr>
        <w:pStyle w:val="style0"/>
        <w:jc w:val="both"/>
        <w:rPr>
          <w:b w:val="false"/>
          <w:bCs w:val="false"/>
        </w:rPr>
      </w:pPr>
      <w:r>
        <w:rPr>
          <w:b w:val="false"/>
          <w:bCs w:val="false"/>
        </w:rPr>
        <w:t>(f) With the aid of statutory authorities, outline the major preliminary issues Crown Kitchen’s lawyer ought to consider before filing the action.</w:t>
      </w:r>
    </w:p>
    <w:p>
      <w:pPr>
        <w:pStyle w:val="style0"/>
        <w:jc w:val="both"/>
        <w:rPr>
          <w:b w:val="false"/>
          <w:bCs w:val="false"/>
        </w:rPr>
      </w:pPr>
    </w:p>
    <w:p>
      <w:pPr>
        <w:pStyle w:val="style0"/>
        <w:jc w:val="both"/>
        <w:rPr>
          <w:b w:val="false"/>
          <w:bCs w:val="false"/>
        </w:rPr>
      </w:pPr>
      <w:r>
        <w:rPr>
          <w:b w:val="false"/>
          <w:bCs w:val="false"/>
          <w:lang w:val="en-US"/>
        </w:rPr>
        <w:t xml:space="preserve">(g). Comment briefly on the procedure for filing a new case in a Magistrates' Court in Lagos, outlining your role as the counsel to Crown Kitchen and the roles of Court officials. </w:t>
      </w:r>
    </w:p>
    <w:p>
      <w:pPr>
        <w:pStyle w:val="style0"/>
        <w:jc w:val="both"/>
        <w:rPr>
          <w:b w:val="false"/>
          <w:bCs w:val="false"/>
        </w:rPr>
      </w:pPr>
    </w:p>
    <w:p>
      <w:pPr>
        <w:pStyle w:val="style0"/>
        <w:jc w:val="both"/>
        <w:rPr>
          <w:b w:val="false"/>
          <w:bCs w:val="false"/>
        </w:rPr>
      </w:pPr>
      <w:r>
        <w:rPr>
          <w:b w:val="false"/>
          <w:bCs w:val="false"/>
          <w:lang w:val="en-US"/>
        </w:rPr>
        <w:t xml:space="preserve">(h). State 5 differences between the Magistrates' Court and a State High Court in Lagos State with special regard to civil proceedings.. </w:t>
      </w:r>
    </w:p>
    <w:p>
      <w:pPr>
        <w:pStyle w:val="style0"/>
        <w:jc w:val="both"/>
        <w:rPr>
          <w:b w:val="false"/>
          <w:bCs w:val="false"/>
        </w:rPr>
      </w:pPr>
    </w:p>
    <w:p>
      <w:pPr>
        <w:pStyle w:val="style0"/>
        <w:jc w:val="both"/>
        <w:rPr>
          <w:b w:val="false"/>
          <w:bCs w:val="false"/>
        </w:rPr>
      </w:pPr>
      <w:r>
        <w:rPr>
          <w:b w:val="false"/>
          <w:bCs w:val="false"/>
          <w:lang w:val="en-US"/>
        </w:rPr>
        <w:t xml:space="preserve">(i). Under what circumstances may a civil action be commenced at the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Small</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Claims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Court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Lagos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State? Comment briefly on the procedure before that Court. </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CASE STUDY 2</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In March 20</w:t>
      </w:r>
      <w:r>
        <w:rPr>
          <w:b w:val="false"/>
          <w:bCs w:val="false"/>
          <w:sz w:val="22"/>
          <w:szCs w:val="22"/>
          <w:lang w:val="en-US"/>
        </w:rPr>
        <w:t>23</w:t>
      </w:r>
      <w:r>
        <w:rPr>
          <w:b w:val="false"/>
          <w:bCs w:val="false"/>
          <w:sz w:val="22"/>
          <w:szCs w:val="22"/>
        </w:rPr>
        <w:t>, Mrs. Kayuba Ada entered into a contract in Lagos with Agricultural Bank PLC to supply 500 tons of cashew nuts valued at ₦18,000,000 for onward exportation to Malaysia. The terms of the contract provided for a ₦</w:t>
      </w:r>
      <w:r>
        <w:rPr>
          <w:b w:val="false"/>
          <w:bCs w:val="false"/>
          <w:sz w:val="22"/>
          <w:szCs w:val="22"/>
          <w:lang w:val="en-US"/>
        </w:rPr>
        <w:t>7</w:t>
      </w:r>
      <w:r>
        <w:rPr>
          <w:b w:val="false"/>
          <w:bCs w:val="false"/>
          <w:sz w:val="22"/>
          <w:szCs w:val="22"/>
        </w:rPr>
        <w:t>,000,000 down payment before exportation, with the balance payable upon delivery at the destination. Mrs. Ada received the ₦3,000,000 and supplied the goods to Malaysia. Despite repeated written demands, Agricultural Bank refused to pay the outstanding ₦1</w:t>
      </w:r>
      <w:r>
        <w:rPr>
          <w:b w:val="false"/>
          <w:bCs w:val="false"/>
          <w:sz w:val="22"/>
          <w:szCs w:val="22"/>
          <w:lang w:val="en-US"/>
        </w:rPr>
        <w:t>1</w:t>
      </w:r>
      <w:r>
        <w:rPr>
          <w:b w:val="false"/>
          <w:bCs w:val="false"/>
          <w:sz w:val="22"/>
          <w:szCs w:val="22"/>
        </w:rPr>
        <w:t xml:space="preserve">,000,000. On </w:t>
      </w:r>
      <w:r>
        <w:rPr>
          <w:b w:val="false"/>
          <w:bCs w:val="false"/>
          <w:sz w:val="22"/>
          <w:szCs w:val="22"/>
          <w:lang w:val="en-US"/>
        </w:rPr>
        <w:t xml:space="preserve">01 </w:t>
      </w:r>
      <w:r>
        <w:rPr>
          <w:b w:val="false"/>
          <w:bCs w:val="false"/>
          <w:sz w:val="22"/>
          <w:szCs w:val="22"/>
        </w:rPr>
        <w:t>June 20</w:t>
      </w:r>
      <w:r>
        <w:rPr>
          <w:b w:val="false"/>
          <w:bCs w:val="false"/>
          <w:sz w:val="22"/>
          <w:szCs w:val="22"/>
          <w:lang w:val="en-US"/>
        </w:rPr>
        <w:t>23</w:t>
      </w:r>
      <w:r>
        <w:rPr>
          <w:b w:val="false"/>
          <w:bCs w:val="false"/>
          <w:sz w:val="22"/>
          <w:szCs w:val="22"/>
        </w:rPr>
        <w:t>, the Bank wrote to Mrs. Ada, stating its decision not to pay the balance, alleging that the goods supplied were inferior in quality. On 19 June 20</w:t>
      </w:r>
      <w:r>
        <w:rPr>
          <w:b w:val="false"/>
          <w:bCs w:val="false"/>
          <w:sz w:val="22"/>
          <w:szCs w:val="22"/>
          <w:lang w:val="en-US"/>
        </w:rPr>
        <w:t xml:space="preserve">23, </w:t>
      </w:r>
      <w:r>
        <w:rPr>
          <w:b w:val="false"/>
          <w:bCs w:val="false"/>
          <w:sz w:val="22"/>
          <w:szCs w:val="22"/>
        </w:rPr>
        <w:t>she commenced an action at the Lagos State High Court against Agricultural Bank, claiming:</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1). ₦15,000,000 (being the outstanding balance);</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2). ₦4,000,000 (special damages);</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3). ₦3,000,000 (general damages).</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Pleadings were filed and exchanged. Trial was concluded and judgment was reserved. Before the judgment was delivered, Agricultural Bank was declared a "no-going concern" and placed under the administration of the Nigeria Deposit Insurance Corporation (NDIC) for the purpose of winding up. The NDIC applied to be joined as a defendant, which the court granted. NDIC then filed a preliminary objection, raising the following grounds:</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1. That the action was statute-barred;</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2. That only the Federal High Court had jurisdiction, given that the Bank was undergoing winding up proceedings.</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The trial court dismissed the objection and subsequently delivered judgment on 10</w:t>
      </w:r>
      <w:r>
        <w:rPr>
          <w:b w:val="false"/>
          <w:bCs w:val="false"/>
          <w:sz w:val="22"/>
          <w:szCs w:val="22"/>
          <w:lang w:val="en-US"/>
        </w:rPr>
        <w:t xml:space="preserve"> </w:t>
      </w:r>
      <w:r>
        <w:rPr>
          <w:b w:val="false"/>
          <w:bCs w:val="false"/>
          <w:sz w:val="22"/>
          <w:szCs w:val="22"/>
        </w:rPr>
        <w:t>June 20</w:t>
      </w:r>
      <w:r>
        <w:rPr>
          <w:b w:val="false"/>
          <w:bCs w:val="false"/>
          <w:sz w:val="22"/>
          <w:szCs w:val="22"/>
          <w:lang w:val="en-US"/>
        </w:rPr>
        <w:t>24</w:t>
      </w:r>
      <w:r>
        <w:rPr>
          <w:b w:val="false"/>
          <w:bCs w:val="false"/>
          <w:sz w:val="22"/>
          <w:szCs w:val="22"/>
        </w:rPr>
        <w:t>, granting all the reliefs sought. No appeal was filed until 18 September 20</w:t>
      </w:r>
      <w:r>
        <w:rPr>
          <w:b w:val="false"/>
          <w:bCs w:val="false"/>
          <w:sz w:val="22"/>
          <w:szCs w:val="22"/>
          <w:lang w:val="en-US"/>
        </w:rPr>
        <w:t>24</w:t>
      </w:r>
      <w:r>
        <w:rPr>
          <w:b w:val="false"/>
          <w:bCs w:val="false"/>
          <w:sz w:val="22"/>
          <w:szCs w:val="22"/>
        </w:rPr>
        <w:t>, when Agricultural Bank, through NDIC, approached you to assist in appealing both the judgment and the earlier ruling.</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ANSWER THE FOLLOWING QUESTIONS:</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 xml:space="preserve">1. Assuming the action had been filed at the Lagos Magistrates’ Court, claiming only the ₦15,000,000 balance, advise on the validity of the action. If the action was not valid, </w:t>
      </w:r>
      <w:r>
        <w:rPr>
          <w:b w:val="false"/>
          <w:bCs w:val="false"/>
          <w:sz w:val="22"/>
          <w:szCs w:val="22"/>
          <w:lang w:val="en-US"/>
        </w:rPr>
        <w:t xml:space="preserve">and the plaintiff wants to bring it within the jurisdictional competence of the Magistrates' Court, </w:t>
      </w:r>
      <w:r>
        <w:rPr>
          <w:b w:val="false"/>
          <w:bCs w:val="false"/>
          <w:sz w:val="22"/>
          <w:szCs w:val="22"/>
        </w:rPr>
        <w:t xml:space="preserve">what legal options </w:t>
      </w:r>
      <w:r>
        <w:rPr>
          <w:b w:val="false"/>
          <w:bCs w:val="false"/>
          <w:sz w:val="22"/>
          <w:szCs w:val="22"/>
          <w:lang w:val="en-US"/>
        </w:rPr>
        <w:t xml:space="preserve">are </w:t>
      </w:r>
      <w:r>
        <w:rPr>
          <w:b w:val="false"/>
          <w:bCs w:val="false"/>
          <w:sz w:val="22"/>
          <w:szCs w:val="22"/>
        </w:rPr>
        <w:t>available to counsel?</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2. Mention and draft the originating processes to be filed in court to commence the action.</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3. What is the lifespan of the originating process mentioned in (2) above?</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4. Comment on the jurisdiction of the court referred to in (1) above.</w:t>
      </w:r>
    </w:p>
    <w:p>
      <w:pPr>
        <w:pStyle w:val="style66"/>
        <w:spacing w:before="5"/>
        <w:ind w:left="0"/>
        <w:jc w:val="both"/>
        <w:rPr>
          <w:b w:val="false"/>
          <w:bCs w:val="false"/>
          <w:sz w:val="22"/>
          <w:szCs w:val="22"/>
        </w:rPr>
      </w:pPr>
    </w:p>
    <w:p>
      <w:pPr>
        <w:pStyle w:val="style66"/>
        <w:spacing w:before="5"/>
        <w:ind w:left="0"/>
        <w:jc w:val="both"/>
        <w:rPr>
          <w:b w:val="false"/>
          <w:bCs w:val="false"/>
          <w:sz w:val="22"/>
          <w:szCs w:val="22"/>
        </w:rPr>
      </w:pPr>
      <w:r>
        <w:rPr>
          <w:b w:val="false"/>
          <w:bCs w:val="false"/>
          <w:sz w:val="22"/>
          <w:szCs w:val="22"/>
        </w:rPr>
        <w:t>5. The Bank’s counsel filed an application to have the action struck out on the ground that a letter of demand was not served before filing the suit. Assess the chances of success of such an application.</w:t>
      </w:r>
    </w:p>
    <w:p>
      <w:pPr>
        <w:pStyle w:val="style66"/>
        <w:spacing w:before="5"/>
        <w:ind w:left="0"/>
        <w:jc w:val="both"/>
        <w:rPr>
          <w:b w:val="false"/>
          <w:bCs w:val="false"/>
          <w:sz w:val="22"/>
          <w:szCs w:val="22"/>
        </w:rPr>
      </w:pPr>
    </w:p>
    <w:p>
      <w:pPr>
        <w:pStyle w:val="style66"/>
        <w:spacing w:before="5"/>
        <w:ind w:left="0"/>
        <w:jc w:val="both"/>
        <w:rPr>
          <w:b w:val="false"/>
          <w:bCs w:val="false"/>
          <w:sz w:val="22"/>
          <w:szCs w:val="22"/>
          <w:lang w:val="en-US"/>
        </w:rPr>
      </w:pPr>
      <w:r>
        <w:rPr>
          <w:b w:val="false"/>
          <w:bCs w:val="false"/>
          <w:sz w:val="22"/>
          <w:szCs w:val="22"/>
        </w:rPr>
        <w:t>6. Assuming the Magistrates’ Court proceeded and awarded the ₦15,000,000 claim, what would be the legal effect of such a judgment?</w:t>
      </w:r>
    </w:p>
    <w:p>
      <w:pPr>
        <w:pStyle w:val="style66"/>
        <w:spacing w:before="5"/>
        <w:ind w:left="0"/>
        <w:jc w:val="both"/>
        <w:rPr>
          <w:b w:val="false"/>
          <w:bCs w:val="false"/>
          <w:sz w:val="22"/>
          <w:szCs w:val="22"/>
          <w:lang w:val="en-US"/>
        </w:rPr>
      </w:pPr>
    </w:p>
    <w:p>
      <w:pPr>
        <w:pStyle w:val="style66"/>
        <w:spacing w:before="5"/>
        <w:ind w:left="0"/>
        <w:jc w:val="both"/>
        <w:rPr>
          <w:b w:val="false"/>
          <w:bCs w:val="false"/>
          <w:sz w:val="22"/>
          <w:szCs w:val="22"/>
          <w:lang w:val="en-US"/>
        </w:rPr>
      </w:pPr>
      <w:r>
        <w:rPr>
          <w:b w:val="false"/>
          <w:bCs w:val="false"/>
          <w:sz w:val="22"/>
          <w:szCs w:val="22"/>
          <w:lang w:val="en-US"/>
        </w:rPr>
        <w:t xml:space="preserve">7.  Identify the appropriate modes for commencing a civil action in the Magistrates’ Court of Lagos State and explain the steps counsel must take to properly initiate the an action in each mode. </w:t>
      </w:r>
    </w:p>
    <w:p>
      <w:pPr>
        <w:pStyle w:val="style66"/>
        <w:spacing w:before="5"/>
        <w:ind w:left="0"/>
        <w:jc w:val="both"/>
        <w:rPr>
          <w:b w:val="false"/>
          <w:bCs w:val="false"/>
          <w:sz w:val="22"/>
          <w:szCs w:val="22"/>
          <w:lang w:val="en-US"/>
        </w:rPr>
      </w:pPr>
    </w:p>
    <w:p>
      <w:pPr>
        <w:pStyle w:val="style66"/>
        <w:spacing w:before="5"/>
        <w:ind w:left="0"/>
        <w:jc w:val="both"/>
        <w:rPr>
          <w:b w:val="false"/>
          <w:bCs w:val="false"/>
          <w:sz w:val="22"/>
          <w:szCs w:val="22"/>
          <w:lang w:val="en-US"/>
        </w:rPr>
      </w:pPr>
      <w:r>
        <w:rPr>
          <w:b w:val="false"/>
          <w:bCs w:val="false"/>
          <w:sz w:val="22"/>
          <w:szCs w:val="22"/>
          <w:lang w:val="en-US"/>
        </w:rPr>
        <w:t>8. Outline the supporting documents that must accompany the originating process mentioned in (2) above and state the consequences of omitting any of them</w:t>
      </w:r>
    </w:p>
    <w:p>
      <w:pPr>
        <w:pStyle w:val="style66"/>
        <w:spacing w:before="5"/>
        <w:ind w:left="0"/>
        <w:jc w:val="both"/>
        <w:rPr>
          <w:b w:val="false"/>
          <w:bCs w:val="false"/>
          <w:sz w:val="22"/>
          <w:szCs w:val="22"/>
          <w:lang w:val="en-US"/>
        </w:rPr>
      </w:pPr>
    </w:p>
    <w:p>
      <w:pPr>
        <w:pStyle w:val="style66"/>
        <w:spacing w:before="5"/>
        <w:ind w:left="0"/>
        <w:jc w:val="both"/>
        <w:rPr>
          <w:b w:val="false"/>
          <w:bCs w:val="false"/>
          <w:sz w:val="22"/>
          <w:szCs w:val="22"/>
          <w:lang w:val="en-US"/>
        </w:rPr>
      </w:pPr>
      <w:r>
        <w:rPr>
          <w:b w:val="false"/>
          <w:bCs w:val="false"/>
          <w:sz w:val="22"/>
          <w:szCs w:val="22"/>
          <w:lang w:val="en-US"/>
        </w:rPr>
        <w:t>9. Comment on how a plaintiff in an action pending at a Magistrates' Court, Lagos can ensure effective service of an originating process on a corporate defendant in Lagos, and what affidavit of service must contain</w:t>
      </w:r>
    </w:p>
    <w:p>
      <w:pPr>
        <w:pStyle w:val="style66"/>
        <w:spacing w:before="5"/>
        <w:ind w:left="0"/>
        <w:jc w:val="both"/>
        <w:rPr>
          <w:b w:val="false"/>
          <w:bCs w:val="false"/>
          <w:sz w:val="22"/>
          <w:szCs w:val="22"/>
          <w:lang w:val="en-US"/>
        </w:rPr>
      </w:pPr>
    </w:p>
    <w:p>
      <w:pPr>
        <w:pStyle w:val="style66"/>
        <w:spacing w:before="5"/>
        <w:ind w:left="0"/>
        <w:jc w:val="both"/>
        <w:rPr>
          <w:b w:val="false"/>
          <w:bCs w:val="false"/>
          <w:sz w:val="22"/>
          <w:szCs w:val="22"/>
          <w:lang w:val="en-US"/>
        </w:rPr>
      </w:pPr>
      <w:r>
        <w:rPr>
          <w:b w:val="false"/>
          <w:bCs w:val="false"/>
          <w:sz w:val="22"/>
          <w:szCs w:val="22"/>
          <w:lang w:val="en-US"/>
        </w:rPr>
        <w:t>10. Assuming the originating process mentioned in (2) above was filed but the defendant did not respond within the prescribed period, outline the steps required to obtain judgment in default of defence.</w:t>
      </w:r>
    </w:p>
    <w:p>
      <w:pPr>
        <w:pStyle w:val="style66"/>
        <w:spacing w:before="5"/>
        <w:ind w:left="0"/>
        <w:jc w:val="both"/>
        <w:rPr>
          <w:b w:val="false"/>
          <w:bCs w:val="false"/>
          <w:sz w:val="22"/>
          <w:szCs w:val="22"/>
          <w:lang w:val="en-US"/>
        </w:rPr>
      </w:pPr>
    </w:p>
    <w:p>
      <w:pPr>
        <w:pStyle w:val="style66"/>
        <w:spacing w:before="5"/>
        <w:ind w:left="0"/>
        <w:jc w:val="both"/>
        <w:rPr>
          <w:b w:val="false"/>
          <w:bCs w:val="false"/>
          <w:sz w:val="22"/>
          <w:szCs w:val="22"/>
        </w:rPr>
      </w:pPr>
      <w:r>
        <w:rPr>
          <w:b w:val="false"/>
          <w:bCs w:val="false"/>
          <w:sz w:val="22"/>
          <w:szCs w:val="22"/>
          <w:lang w:val="en-US"/>
        </w:rPr>
        <w:t xml:space="preserve">11. Assuming the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originating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process</w:t>
      </w:r>
      <w:r>
        <w:rPr>
          <w:b w:val="false"/>
          <w:bCs w:val="false"/>
          <w:sz w:val="22"/>
          <w:szCs w:val="22"/>
          <w:lang w:val="en-US"/>
        </w:rPr>
        <w:t xml:space="preserve"> was filed outside the territorial jurisdiction of the court, what procedural steps could the defendant take to challenge it, and what is the likely consequence if the challenge succeeds?</w:t>
      </w:r>
    </w:p>
    <w:p>
      <w:pPr>
        <w:pStyle w:val="style66"/>
        <w:spacing w:before="5"/>
        <w:ind w:left="0"/>
        <w:jc w:val="both"/>
        <w:rPr>
          <w:b w:val="false"/>
          <w:bCs w:val="false"/>
          <w:sz w:val="22"/>
          <w:szCs w:val="22"/>
        </w:rPr>
      </w:pPr>
    </w:p>
    <w:p>
      <w:pPr>
        <w:pStyle w:val="style0"/>
        <w:widowControl/>
        <w:autoSpaceDE/>
        <w:autoSpaceDN/>
        <w:spacing w:after="200" w:lineRule="auto" w:line="276"/>
        <w:jc w:val="both"/>
        <w:rPr>
          <w:rFonts w:eastAsia="Calibri"/>
          <w:b w:val="false"/>
          <w:bCs w:val="false"/>
          <w:kern w:val="2"/>
          <w14:ligatures xmlns:w14="http://schemas.microsoft.com/office/word/2010/wordml" w14:val="standardContextual"/>
        </w:rPr>
      </w:pPr>
      <w:r>
        <w:rPr>
          <w:rFonts w:eastAsia="Calibri"/>
          <w:b/>
          <w:bCs/>
          <w:kern w:val="2"/>
          <w14:ligatures xmlns:w14="http://schemas.microsoft.com/office/word/2010/wordml" w14:val="standardContextual"/>
        </w:rPr>
        <w:t>Instructions</w:t>
      </w:r>
      <w:r>
        <w:rPr>
          <w:rFonts w:eastAsia="Calibri"/>
          <w:b w:val="false"/>
          <w:bCs w:val="false"/>
          <w:kern w:val="2"/>
          <w14:ligatures xmlns:w14="http://schemas.microsoft.com/office/word/2010/wordml" w14:val="standardContextual"/>
        </w:rPr>
        <w:t>:</w:t>
      </w:r>
    </w:p>
    <w:p>
      <w:pPr>
        <w:pStyle w:val="style179"/>
        <w:widowControl/>
        <w:numPr>
          <w:ilvl w:val="0"/>
          <w:numId w:val="11"/>
        </w:numPr>
        <w:autoSpaceDE/>
        <w:autoSpaceDN/>
        <w:spacing w:after="200" w:lineRule="auto" w:line="276"/>
        <w:jc w:val="both"/>
        <w:rPr>
          <w:rFonts w:eastAsia="Calibri"/>
          <w:b w:val="false"/>
          <w:bCs w:val="false"/>
          <w:kern w:val="2"/>
          <w:lang w:val="en-US"/>
          <w14:ligatures xmlns:w14="http://schemas.microsoft.com/office/word/2010/wordml" w14:val="standardContextual"/>
        </w:rPr>
      </w:pPr>
      <w:r>
        <w:rPr>
          <w:rFonts w:eastAsia="Calibri"/>
          <w:b w:val="false"/>
          <w:bCs w:val="false"/>
          <w:kern w:val="2"/>
          <w14:ligatures xmlns:w14="http://schemas.microsoft.com/office/word/2010/wordml" w14:val="standardContextual"/>
        </w:rPr>
        <w:t xml:space="preserve">All groups must </w:t>
      </w:r>
      <w:r>
        <w:rPr>
          <w:rFonts w:eastAsia="Calibri"/>
          <w:b w:val="false"/>
          <w:bCs w:val="false"/>
          <w:kern w:val="2"/>
          <w:lang w:val="en-US"/>
          <w14:ligatures xmlns:w14="http://schemas.microsoft.com/office/word/2010/wordml" w14:val="standardContextual"/>
        </w:rPr>
        <w:t xml:space="preserve">to consider all questions and submit their answers online to the department's email, not later than 11.00pm on 07 May 2025. No need to submit hard copies. </w:t>
      </w:r>
    </w:p>
    <w:p>
      <w:pPr>
        <w:pStyle w:val="style179"/>
        <w:widowControl/>
        <w:numPr>
          <w:ilvl w:val="0"/>
          <w:numId w:val="11"/>
        </w:numPr>
        <w:autoSpaceDE/>
        <w:autoSpaceDN/>
        <w:spacing w:after="200" w:lineRule="auto" w:line="276"/>
        <w:jc w:val="both"/>
        <w:rPr>
          <w:b w:val="false"/>
          <w:bCs w:val="false"/>
          <w:sz w:val="22"/>
          <w:szCs w:val="22"/>
        </w:rPr>
      </w:pPr>
      <w:r>
        <w:rPr>
          <w:rFonts w:eastAsia="Calibri"/>
          <w:b w:val="false"/>
          <w:bCs w:val="false"/>
          <w:kern w:val="2"/>
          <w:lang w:val="en-US"/>
          <w14:ligatures xmlns:w14="http://schemas.microsoft.com/office/word/2010/wordml" w14:val="standardContextual"/>
        </w:rPr>
        <w:t xml:space="preserve">All groups and students  </w:t>
      </w:r>
      <w:r>
        <w:rPr>
          <w:rFonts w:eastAsia="Calibri"/>
          <w:b w:val="false"/>
          <w:bCs w:val="false"/>
          <w:kern w:val="2"/>
          <w14:ligatures xmlns:w14="http://schemas.microsoft.com/office/word/2010/wordml" w14:val="standardContextual"/>
        </w:rPr>
        <w:t xml:space="preserve">be ready to make presentation in class in respect of all the items as </w:t>
      </w:r>
      <w:r>
        <w:rPr>
          <w:rFonts w:eastAsia="Calibri"/>
          <w:b w:val="false"/>
          <w:bCs w:val="false"/>
          <w:kern w:val="2"/>
          <w:lang w:val="en-US"/>
          <w14:ligatures xmlns:w14="http://schemas.microsoft.com/office/word/2010/wordml" w14:val="standardContextual"/>
        </w:rPr>
        <w:t>any student or group member may be called upon for</w:t>
      </w:r>
      <w:r>
        <w:rPr>
          <w:rFonts w:eastAsia="Calibri"/>
          <w:b w:val="false"/>
          <w:bCs w:val="false"/>
          <w:kern w:val="2"/>
          <w14:ligatures xmlns:w14="http://schemas.microsoft.com/office/word/2010/wordml" w14:val="standardContextual"/>
        </w:rPr>
        <w:t>presentation on any items.</w:t>
      </w:r>
    </w:p>
    <w:p>
      <w:pPr>
        <w:pStyle w:val="style179"/>
        <w:widowControl/>
        <w:numPr>
          <w:ilvl w:val="0"/>
          <w:numId w:val="11"/>
        </w:numPr>
        <w:autoSpaceDE/>
        <w:autoSpaceDN/>
        <w:spacing w:after="200" w:lineRule="auto" w:line="276"/>
        <w:jc w:val="both"/>
        <w:rPr>
          <w:b w:val="false"/>
          <w:bCs w:val="false"/>
          <w:sz w:val="22"/>
          <w:szCs w:val="22"/>
          <w:lang w:val="en-US"/>
        </w:rPr>
      </w:pPr>
      <w:r>
        <w:rPr>
          <w:b w:val="false"/>
          <w:bCs w:val="false"/>
          <w:sz w:val="22"/>
          <w:szCs w:val="22"/>
          <w:lang w:val="en-US"/>
        </w:rPr>
        <w:t xml:space="preserve">All students must study the topic (Pre-action Considerations And Commencement Of Actions In Magistrates’ Court) ahead of the class. </w:t>
      </w:r>
    </w:p>
    <w:p>
      <w:pPr>
        <w:widowControl/>
        <w:numPr>
          <w:ilvl w:val="0"/>
          <w:numId w:val="0"/>
        </w:numPr>
        <w:autoSpaceDE/>
        <w:autoSpaceDN/>
        <w:spacing w:after="200" w:lineRule="auto" w:line="276"/>
        <w:jc w:val="both"/>
        <w:rPr>
          <w:b w:val="false"/>
          <w:bCs w:val="false"/>
          <w:sz w:val="22"/>
          <w:szCs w:val="22"/>
        </w:rPr>
      </w:pPr>
      <w:r>
        <w:rPr>
          <w:b w:val="false"/>
          <w:bCs w:val="false"/>
          <w:sz w:val="22"/>
          <w:szCs w:val="22"/>
          <w:lang w:val="en-US"/>
        </w:rPr>
        <w:t xml:space="preserve">Best wishes. </w:t>
      </w:r>
    </w:p>
    <w:p>
      <w:pPr>
        <w:pStyle w:val="style66"/>
        <w:ind w:left="0" w:right="576"/>
        <w:jc w:val="both"/>
        <w:rPr>
          <w:b w:val="false"/>
          <w:bCs w:val="false"/>
          <w:sz w:val="22"/>
          <w:szCs w:val="22"/>
        </w:rPr>
      </w:pPr>
      <w:r>
        <w:rPr>
          <w:b w:val="false"/>
          <w:bCs w:val="false"/>
          <w:sz w:val="22"/>
          <w:szCs w:val="22"/>
          <w:lang w:val="en-US"/>
        </w:rPr>
        <w:t>From</w:t>
      </w:r>
    </w:p>
    <w:p>
      <w:pPr>
        <w:pStyle w:val="style66"/>
        <w:ind w:left="0" w:right="576"/>
        <w:jc w:val="both"/>
        <w:rPr>
          <w:b w:val="false"/>
          <w:bCs w:val="false"/>
          <w:sz w:val="22"/>
          <w:szCs w:val="22"/>
        </w:rPr>
      </w:pPr>
      <w:r>
        <w:rPr>
          <w:b w:val="false"/>
          <w:bCs w:val="false"/>
          <w:sz w:val="22"/>
          <w:szCs w:val="22"/>
          <w:lang w:val="en-US"/>
        </w:rPr>
        <w:t>Civil Litigation Department</w:t>
      </w:r>
    </w:p>
    <w:p>
      <w:pPr>
        <w:pStyle w:val="style66"/>
        <w:ind w:left="0" w:right="576"/>
        <w:jc w:val="both"/>
        <w:rPr>
          <w:b w:val="false"/>
          <w:bCs w:val="false"/>
          <w:sz w:val="22"/>
          <w:szCs w:val="22"/>
        </w:rPr>
      </w:pPr>
      <w:r>
        <w:rPr>
          <w:b w:val="false"/>
          <w:bCs w:val="false"/>
          <w:sz w:val="22"/>
          <w:szCs w:val="22"/>
          <w:lang w:val="en-US"/>
        </w:rPr>
        <w:t xml:space="preserve">Nigerian Law School, </w:t>
      </w:r>
    </w:p>
    <w:p>
      <w:pPr>
        <w:pStyle w:val="style66"/>
        <w:ind w:left="0" w:right="576"/>
        <w:jc w:val="both"/>
        <w:rPr>
          <w:b w:val="false"/>
          <w:bCs w:val="false"/>
          <w:sz w:val="22"/>
          <w:szCs w:val="22"/>
        </w:rPr>
      </w:pPr>
      <w:r>
        <w:rPr>
          <w:b w:val="false"/>
          <w:bCs w:val="false"/>
          <w:sz w:val="22"/>
          <w:szCs w:val="22"/>
          <w:lang w:val="en-US"/>
        </w:rPr>
        <w:t>Yenagoa Campus</w:t>
      </w:r>
    </w:p>
    <w:p>
      <w:pPr>
        <w:pStyle w:val="style66"/>
        <w:ind w:left="0" w:right="576"/>
        <w:jc w:val="both"/>
        <w:rPr>
          <w:b w:val="false"/>
          <w:bCs w:val="false"/>
          <w:sz w:val="22"/>
          <w:szCs w:val="22"/>
        </w:rPr>
      </w:pPr>
      <w:r>
        <w:rPr>
          <w:b w:val="false"/>
          <w:bCs w:val="false"/>
          <w:sz w:val="22"/>
          <w:szCs w:val="22"/>
          <w:lang w:val="en-US"/>
        </w:rPr>
        <w:t>Contact Tel: 08039136749.</w:t>
      </w:r>
    </w:p>
    <w:p>
      <w:pPr>
        <w:pStyle w:val="style66"/>
        <w:ind w:left="0" w:right="576"/>
        <w:jc w:val="both"/>
        <w:rPr>
          <w:b w:val="false"/>
          <w:bCs w:val="false"/>
          <w:sz w:val="22"/>
          <w:szCs w:val="22"/>
        </w:rPr>
      </w:pPr>
      <w:r>
        <w:rPr>
          <w:b w:val="false"/>
          <w:bCs w:val="false"/>
          <w:sz w:val="22"/>
          <w:szCs w:val="22"/>
          <w:lang w:val="en-US"/>
        </w:rPr>
        <w:t>Contact email: nlscivilyenagoa@gmail.com.</w:t>
      </w:r>
    </w:p>
    <w:p>
      <w:pPr>
        <w:pStyle w:val="style66"/>
        <w:spacing w:before="7"/>
        <w:ind w:left="0"/>
        <w:jc w:val="both"/>
        <w:rPr>
          <w:b w:val="false"/>
          <w:bCs w:val="false"/>
          <w:sz w:val="22"/>
          <w:szCs w:val="22"/>
        </w:rPr>
      </w:pPr>
    </w:p>
    <w:p>
      <w:pPr>
        <w:pStyle w:val="style0"/>
        <w:jc w:val="both"/>
        <w:rPr/>
      </w:pPr>
    </w:p>
    <w:sectPr>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ACFF" w:usb2="00000009" w:usb3="00000000" w:csb0="000001FF" w:csb1="00000000"/>
  </w:font>
  <w:font w:name="MS Mincho">
    <w:altName w:val="ＭＳ 明朝"/>
    <w:panose1 w:val="02020609040000080304"/>
    <w:charset w:val="80"/>
    <w:family w:val="modern"/>
    <w:pitch w:val="fixed"/>
    <w:sig w:usb0="E00002FF" w:usb1="6AC7FDFB" w:usb2="08000012" w:usb3="00000000" w:csb0="0002009F" w:csb1="00000000"/>
  </w:font>
  <w:font w:name="SimSun">
    <w:altName w:val="宋体"/>
    <w:panose1 w:val="02010600030000010101"/>
    <w:charset w:val="86"/>
    <w:family w:val="auto"/>
    <w:pitch w:val="variable"/>
    <w:sig w:usb0="00000203" w:usb1="288F0000" w:usb2="00000016" w:usb3="00000000" w:csb0="00040001"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D460101A"/>
    <w:lvl w:ilvl="0">
      <w:start w:val="1"/>
      <w:numFmt w:val="lowerRoman"/>
      <w:lvlText w:val="%1."/>
      <w:lvlJc w:val="left"/>
      <w:pPr>
        <w:tabs>
          <w:tab w:val="left" w:leader="none" w:pos="845"/>
        </w:tabs>
        <w:ind w:left="845" w:hanging="425"/>
      </w:pPr>
      <w:rPr>
        <w:rFonts w:hint="default"/>
      </w:rPr>
    </w:lvl>
  </w:abstractNum>
  <w:abstractNum w:abstractNumId="1">
    <w:nsid w:val="00000001"/>
    <w:multiLevelType w:val="multilevel"/>
    <w:tmpl w:val="5C9B5DE3"/>
    <w:lvl w:ilvl="0">
      <w:start w:val="1"/>
      <w:numFmt w:val="lowerLetter"/>
      <w:lvlText w:val="%1)"/>
      <w:lvlJc w:val="left"/>
      <w:pPr>
        <w:tabs>
          <w:tab w:val="left" w:leader="none" w:pos="425"/>
        </w:tabs>
        <w:ind w:left="425" w:hanging="425"/>
      </w:pPr>
      <w:rPr>
        <w:rFonts w:hint="default"/>
      </w:rPr>
    </w:lvl>
    <w:lvl w:ilvl="1">
      <w:start w:val="1"/>
      <w:numFmt w:val="lowerLetter"/>
      <w:lvlText w:val="%2)"/>
      <w:lvlJc w:val="left"/>
      <w:pPr>
        <w:tabs>
          <w:tab w:val="left" w:leader="none" w:pos="840"/>
        </w:tabs>
        <w:ind w:left="840" w:hanging="420"/>
      </w:pPr>
      <w:rPr>
        <w:rFonts w:hint="default"/>
      </w:rPr>
    </w:lvl>
    <w:lvl w:ilvl="2">
      <w:start w:val="1"/>
      <w:numFmt w:val="lowerRoman"/>
      <w:lvlText w:val="%3."/>
      <w:lvlJc w:val="left"/>
      <w:pPr>
        <w:tabs>
          <w:tab w:val="left" w:leader="none" w:pos="1260"/>
        </w:tabs>
        <w:ind w:left="1260" w:hanging="420"/>
      </w:pPr>
      <w:rPr>
        <w:rFonts w:hint="default"/>
      </w:rPr>
    </w:lvl>
    <w:lvl w:ilvl="3">
      <w:start w:val="1"/>
      <w:numFmt w:val="decimal"/>
      <w:lvlText w:val="%4."/>
      <w:lvlJc w:val="left"/>
      <w:pPr>
        <w:tabs>
          <w:tab w:val="left" w:leader="none" w:pos="1680"/>
        </w:tabs>
        <w:ind w:left="1680" w:hanging="420"/>
      </w:pPr>
      <w:rPr>
        <w:rFonts w:hint="default"/>
      </w:rPr>
    </w:lvl>
    <w:lvl w:ilvl="4">
      <w:start w:val="1"/>
      <w:numFmt w:val="lowerLetter"/>
      <w:lvlText w:val="%5)"/>
      <w:lvlJc w:val="left"/>
      <w:pPr>
        <w:tabs>
          <w:tab w:val="left" w:leader="none" w:pos="2100"/>
        </w:tabs>
        <w:ind w:left="2100" w:hanging="420"/>
      </w:pPr>
      <w:rPr>
        <w:rFonts w:hint="default"/>
      </w:rPr>
    </w:lvl>
    <w:lvl w:ilvl="5">
      <w:start w:val="1"/>
      <w:numFmt w:val="lowerRoman"/>
      <w:lvlText w:val="%6."/>
      <w:lvlJc w:val="left"/>
      <w:pPr>
        <w:tabs>
          <w:tab w:val="left" w:leader="none" w:pos="2520"/>
        </w:tabs>
        <w:ind w:left="2520" w:hanging="420"/>
      </w:pPr>
      <w:rPr>
        <w:rFonts w:hint="default"/>
      </w:rPr>
    </w:lvl>
    <w:lvl w:ilvl="6">
      <w:start w:val="1"/>
      <w:numFmt w:val="decimal"/>
      <w:lvlText w:val="%7."/>
      <w:lvlJc w:val="left"/>
      <w:pPr>
        <w:tabs>
          <w:tab w:val="left" w:leader="none" w:pos="2940"/>
        </w:tabs>
        <w:ind w:left="2940" w:hanging="420"/>
      </w:pPr>
      <w:rPr>
        <w:rFonts w:hint="default"/>
      </w:rPr>
    </w:lvl>
    <w:lvl w:ilvl="7">
      <w:start w:val="1"/>
      <w:numFmt w:val="lowerLetter"/>
      <w:lvlText w:val="%8)"/>
      <w:lvlJc w:val="left"/>
      <w:pPr>
        <w:tabs>
          <w:tab w:val="left" w:leader="none" w:pos="3360"/>
        </w:tabs>
        <w:ind w:left="3360" w:hanging="420"/>
      </w:pPr>
      <w:rPr>
        <w:rFonts w:hint="default"/>
      </w:rPr>
    </w:lvl>
    <w:lvl w:ilvl="8">
      <w:start w:val="1"/>
      <w:numFmt w:val="lowerRoman"/>
      <w:lvlText w:val="%9."/>
      <w:lvlJc w:val="left"/>
      <w:pPr>
        <w:tabs>
          <w:tab w:val="left" w:leader="none" w:pos="3780"/>
        </w:tabs>
        <w:ind w:left="3780" w:hanging="420"/>
      </w:pPr>
      <w:rPr>
        <w:rFonts w:hint="default"/>
      </w:rPr>
    </w:lvl>
  </w:abstractNum>
  <w:abstractNum w:abstractNumId="2">
    <w:nsid w:val="00000002"/>
    <w:multiLevelType w:val="hybridMultilevel"/>
    <w:tmpl w:val="00842686"/>
    <w:lvl w:ilvl="0" w:tplc="0409000F">
      <w:start w:val="1"/>
      <w:numFmt w:val="decimal"/>
      <w:lvlText w:val="%1."/>
      <w:lvlJc w:val="left"/>
      <w:pPr>
        <w:ind w:left="1300" w:hanging="360"/>
      </w:p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3">
    <w:nsid w:val="00000003"/>
    <w:multiLevelType w:val="hybridMultilevel"/>
    <w:tmpl w:val="FFFFFFFF"/>
    <w:lvl w:ilvl="0" w:tplc="A1E2CBA2">
      <w:start w:val="1"/>
      <w:numFmt w:val="decimal"/>
      <w:lvlText w:val="%1."/>
      <w:lvlJc w:val="left"/>
      <w:pPr>
        <w:ind w:left="839" w:hanging="260"/>
      </w:pPr>
      <w:rPr>
        <w:rFonts w:hint="default"/>
        <w:w w:val="99"/>
        <w:lang w:val="en-US" w:bidi="ar-SA" w:eastAsia="en-US"/>
      </w:rPr>
    </w:lvl>
    <w:lvl w:ilvl="1" w:tplc="874E30A2">
      <w:start w:val="1"/>
      <w:numFmt w:val="lowerLetter"/>
      <w:lvlText w:val="%2)"/>
      <w:lvlJc w:val="left"/>
      <w:pPr>
        <w:ind w:left="1300" w:hanging="360"/>
      </w:pPr>
      <w:rPr>
        <w:rFonts w:hint="default"/>
        <w:w w:val="99"/>
        <w:lang w:val="en-US" w:bidi="ar-SA" w:eastAsia="en-US"/>
      </w:rPr>
    </w:lvl>
    <w:lvl w:ilvl="2" w:tplc="23EA0B90">
      <w:start w:val="1"/>
      <w:numFmt w:val="bullet"/>
      <w:lvlText w:val="•"/>
      <w:lvlJc w:val="left"/>
      <w:pPr>
        <w:ind w:left="1977" w:hanging="360"/>
      </w:pPr>
      <w:rPr>
        <w:rFonts w:hint="default"/>
        <w:lang w:val="en-US" w:bidi="ar-SA" w:eastAsia="en-US"/>
      </w:rPr>
    </w:lvl>
    <w:lvl w:ilvl="3" w:tplc="EAA20B14">
      <w:start w:val="1"/>
      <w:numFmt w:val="bullet"/>
      <w:lvlText w:val="•"/>
      <w:lvlJc w:val="left"/>
      <w:pPr>
        <w:ind w:left="2654" w:hanging="360"/>
      </w:pPr>
      <w:rPr>
        <w:rFonts w:hint="default"/>
        <w:lang w:val="en-US" w:bidi="ar-SA" w:eastAsia="en-US"/>
      </w:rPr>
    </w:lvl>
    <w:lvl w:ilvl="4" w:tplc="7018B3EC">
      <w:start w:val="1"/>
      <w:numFmt w:val="bullet"/>
      <w:lvlText w:val="•"/>
      <w:lvlJc w:val="left"/>
      <w:pPr>
        <w:ind w:left="3331" w:hanging="360"/>
      </w:pPr>
      <w:rPr>
        <w:rFonts w:hint="default"/>
        <w:lang w:val="en-US" w:bidi="ar-SA" w:eastAsia="en-US"/>
      </w:rPr>
    </w:lvl>
    <w:lvl w:ilvl="5" w:tplc="F5AA2BF2">
      <w:start w:val="1"/>
      <w:numFmt w:val="bullet"/>
      <w:lvlText w:val="•"/>
      <w:lvlJc w:val="left"/>
      <w:pPr>
        <w:ind w:left="4008" w:hanging="360"/>
      </w:pPr>
      <w:rPr>
        <w:rFonts w:hint="default"/>
        <w:lang w:val="en-US" w:bidi="ar-SA" w:eastAsia="en-US"/>
      </w:rPr>
    </w:lvl>
    <w:lvl w:ilvl="6" w:tplc="263E7F44">
      <w:start w:val="1"/>
      <w:numFmt w:val="bullet"/>
      <w:lvlText w:val="•"/>
      <w:lvlJc w:val="left"/>
      <w:pPr>
        <w:ind w:left="4686" w:hanging="360"/>
      </w:pPr>
      <w:rPr>
        <w:rFonts w:hint="default"/>
        <w:lang w:val="en-US" w:bidi="ar-SA" w:eastAsia="en-US"/>
      </w:rPr>
    </w:lvl>
    <w:lvl w:ilvl="7" w:tplc="CF80EDC2">
      <w:start w:val="1"/>
      <w:numFmt w:val="bullet"/>
      <w:lvlText w:val="•"/>
      <w:lvlJc w:val="left"/>
      <w:pPr>
        <w:ind w:left="5363" w:hanging="360"/>
      </w:pPr>
      <w:rPr>
        <w:rFonts w:hint="default"/>
        <w:lang w:val="en-US" w:bidi="ar-SA" w:eastAsia="en-US"/>
      </w:rPr>
    </w:lvl>
    <w:lvl w:ilvl="8" w:tplc="C6E0FD06">
      <w:start w:val="1"/>
      <w:numFmt w:val="bullet"/>
      <w:lvlText w:val="•"/>
      <w:lvlJc w:val="left"/>
      <w:pPr>
        <w:ind w:left="6040" w:hanging="360"/>
      </w:pPr>
      <w:rPr>
        <w:rFonts w:hint="default"/>
        <w:lang w:val="en-US" w:bidi="ar-SA" w:eastAsia="en-US"/>
      </w:rPr>
    </w:lvl>
  </w:abstractNum>
  <w:abstractNum w:abstractNumId="4">
    <w:nsid w:val="00000004"/>
    <w:multiLevelType w:val="singleLevel"/>
    <w:tmpl w:val="81384FCA"/>
    <w:lvl w:ilvl="0">
      <w:start w:val="1"/>
      <w:numFmt w:val="lowerRoman"/>
      <w:lvlText w:val="%1."/>
      <w:lvlJc w:val="left"/>
      <w:pPr>
        <w:tabs>
          <w:tab w:val="left" w:leader="none" w:pos="425"/>
        </w:tabs>
        <w:ind w:left="425" w:hanging="425"/>
      </w:pPr>
      <w:rPr>
        <w:rFonts w:hint="default"/>
      </w:rPr>
    </w:lvl>
  </w:abstractNum>
  <w:abstractNum w:abstractNumId="5">
    <w:nsid w:val="00000005"/>
    <w:multiLevelType w:val="hybridMultilevel"/>
    <w:tmpl w:val="FFFFFFFF"/>
    <w:lvl w:ilvl="0" w:tplc="73F88FEC">
      <w:start w:val="1"/>
      <w:numFmt w:val="lowerRoman"/>
      <w:lvlText w:val="(%1)"/>
      <w:lvlJc w:val="left"/>
      <w:pPr>
        <w:ind w:left="1660" w:hanging="720"/>
      </w:pPr>
      <w:rPr>
        <w:rFonts w:ascii="Times New Roman" w:cs="Times New Roman" w:eastAsia="Times New Roman" w:hAnsi="Times New Roman" w:hint="default"/>
        <w:w w:val="99"/>
        <w:sz w:val="26"/>
        <w:szCs w:val="26"/>
        <w:lang w:val="en-US" w:bidi="ar-SA" w:eastAsia="en-US"/>
      </w:rPr>
    </w:lvl>
    <w:lvl w:ilvl="1" w:tplc="BFA49F30">
      <w:start w:val="1"/>
      <w:numFmt w:val="bullet"/>
      <w:lvlText w:val="•"/>
      <w:lvlJc w:val="left"/>
      <w:pPr>
        <w:ind w:left="2233" w:hanging="720"/>
      </w:pPr>
      <w:rPr>
        <w:rFonts w:hint="default"/>
        <w:lang w:val="en-US" w:bidi="ar-SA" w:eastAsia="en-US"/>
      </w:rPr>
    </w:lvl>
    <w:lvl w:ilvl="2" w:tplc="A35C783C">
      <w:start w:val="1"/>
      <w:numFmt w:val="bullet"/>
      <w:lvlText w:val="•"/>
      <w:lvlJc w:val="left"/>
      <w:pPr>
        <w:ind w:left="2807" w:hanging="720"/>
      </w:pPr>
      <w:rPr>
        <w:rFonts w:hint="default"/>
        <w:lang w:val="en-US" w:bidi="ar-SA" w:eastAsia="en-US"/>
      </w:rPr>
    </w:lvl>
    <w:lvl w:ilvl="3" w:tplc="FB3AA24A">
      <w:start w:val="1"/>
      <w:numFmt w:val="bullet"/>
      <w:lvlText w:val="•"/>
      <w:lvlJc w:val="left"/>
      <w:pPr>
        <w:ind w:left="3380" w:hanging="720"/>
      </w:pPr>
      <w:rPr>
        <w:rFonts w:hint="default"/>
        <w:lang w:val="en-US" w:bidi="ar-SA" w:eastAsia="en-US"/>
      </w:rPr>
    </w:lvl>
    <w:lvl w:ilvl="4" w:tplc="7DC21610">
      <w:start w:val="1"/>
      <w:numFmt w:val="bullet"/>
      <w:lvlText w:val="•"/>
      <w:lvlJc w:val="left"/>
      <w:pPr>
        <w:ind w:left="3954" w:hanging="720"/>
      </w:pPr>
      <w:rPr>
        <w:rFonts w:hint="default"/>
        <w:lang w:val="en-US" w:bidi="ar-SA" w:eastAsia="en-US"/>
      </w:rPr>
    </w:lvl>
    <w:lvl w:ilvl="5" w:tplc="AAF89D1E">
      <w:start w:val="1"/>
      <w:numFmt w:val="bullet"/>
      <w:lvlText w:val="•"/>
      <w:lvlJc w:val="left"/>
      <w:pPr>
        <w:ind w:left="4527" w:hanging="720"/>
      </w:pPr>
      <w:rPr>
        <w:rFonts w:hint="default"/>
        <w:lang w:val="en-US" w:bidi="ar-SA" w:eastAsia="en-US"/>
      </w:rPr>
    </w:lvl>
    <w:lvl w:ilvl="6" w:tplc="1DE2C522">
      <w:start w:val="1"/>
      <w:numFmt w:val="bullet"/>
      <w:lvlText w:val="•"/>
      <w:lvlJc w:val="left"/>
      <w:pPr>
        <w:ind w:left="5101" w:hanging="720"/>
      </w:pPr>
      <w:rPr>
        <w:rFonts w:hint="default"/>
        <w:lang w:val="en-US" w:bidi="ar-SA" w:eastAsia="en-US"/>
      </w:rPr>
    </w:lvl>
    <w:lvl w:ilvl="7" w:tplc="58344298">
      <w:start w:val="1"/>
      <w:numFmt w:val="bullet"/>
      <w:lvlText w:val="•"/>
      <w:lvlJc w:val="left"/>
      <w:pPr>
        <w:ind w:left="5674" w:hanging="720"/>
      </w:pPr>
      <w:rPr>
        <w:rFonts w:hint="default"/>
        <w:lang w:val="en-US" w:bidi="ar-SA" w:eastAsia="en-US"/>
      </w:rPr>
    </w:lvl>
    <w:lvl w:ilvl="8" w:tplc="2ED2BBA4">
      <w:start w:val="1"/>
      <w:numFmt w:val="bullet"/>
      <w:lvlText w:val="•"/>
      <w:lvlJc w:val="left"/>
      <w:pPr>
        <w:ind w:left="6248" w:hanging="720"/>
      </w:pPr>
      <w:rPr>
        <w:rFonts w:hint="default"/>
        <w:lang w:val="en-US" w:bidi="ar-SA" w:eastAsia="en-US"/>
      </w:rPr>
    </w:lvl>
  </w:abstractNum>
  <w:abstractNum w:abstractNumId="6">
    <w:nsid w:val="00000006"/>
    <w:multiLevelType w:val="hybridMultilevel"/>
    <w:tmpl w:val="DF72DB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0000007"/>
    <w:multiLevelType w:val="hybridMultilevel"/>
    <w:tmpl w:val="1B76F3AA"/>
    <w:lvl w:ilvl="0" w:tplc="0409000F">
      <w:start w:val="1"/>
      <w:numFmt w:val="decimal"/>
      <w:lvlText w:val="%1."/>
      <w:lvlJc w:val="left"/>
      <w:pPr>
        <w:ind w:left="1300" w:hanging="360"/>
      </w:p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8">
    <w:nsid w:val="00000008"/>
    <w:multiLevelType w:val="hybridMultilevel"/>
    <w:tmpl w:val="509E29A4"/>
    <w:lvl w:ilvl="0" w:tplc="0409001B">
      <w:start w:val="1"/>
      <w:numFmt w:val="lowerRoman"/>
      <w:lvlText w:val="%1."/>
      <w:lvlJc w:val="right"/>
      <w:pPr>
        <w:ind w:left="2020" w:hanging="360"/>
      </w:p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9">
    <w:nsid w:val="00000009"/>
    <w:multiLevelType w:val="hybridMultilevel"/>
    <w:tmpl w:val="33166388"/>
    <w:lvl w:ilvl="0" w:tplc="0409000F">
      <w:start w:val="1"/>
      <w:numFmt w:val="decimal"/>
      <w:lvlText w:val="%1."/>
      <w:lvlJc w:val="left"/>
      <w:pPr>
        <w:ind w:left="1300" w:hanging="360"/>
      </w:p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10">
    <w:nsid w:val="0000000A"/>
    <w:multiLevelType w:val="hybridMultilevel"/>
    <w:tmpl w:val="000000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6"/>
  </w:num>
  <w:num w:numId="2">
    <w:abstractNumId w:val="5"/>
  </w:num>
  <w:num w:numId="3">
    <w:abstractNumId w:val="3"/>
  </w:num>
  <w:num w:numId="4">
    <w:abstractNumId w:val="9"/>
  </w:num>
  <w:num w:numId="5">
    <w:abstractNumId w:val="4"/>
  </w:num>
  <w:num w:numId="6">
    <w:abstractNumId w:val="2"/>
  </w:num>
  <w:num w:numId="7">
    <w:abstractNumId w:val="1"/>
  </w:num>
  <w:num w:numId="8">
    <w:abstractNumId w:val="0"/>
  </w:num>
  <w:num w:numId="9">
    <w:abstractNumId w:val="7"/>
  </w:num>
  <w:num w:numId="10">
    <w:abstractNumId w:val="8"/>
  </w:num>
  <w:num w:numId="11">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5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widowControl w:val="false"/>
      <w:autoSpaceDE w:val="false"/>
      <w:autoSpaceDN w:val="false"/>
      <w:spacing w:after="0" w:lineRule="auto" w:line="240"/>
    </w:pPr>
    <w:rPr>
      <w:rFonts w:ascii="Times New Roman" w:cs="Times New Roman" w:eastAsia="Times New Roman" w:hAnsi="Times New Roman"/>
    </w:rPr>
  </w:style>
  <w:style w:type="paragraph" w:styleId="style1">
    <w:name w:val="heading 1"/>
    <w:basedOn w:val="style0"/>
    <w:next w:val="style1"/>
    <w:link w:val="style4097"/>
    <w:qFormat/>
    <w:uiPriority w:val="9"/>
    <w:pPr>
      <w:ind w:left="580"/>
      <w:outlineLvl w:val="0"/>
    </w:pPr>
    <w:rPr>
      <w:b/>
      <w:bCs/>
      <w:sz w:val="2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1"/>
    <w:pPr>
      <w:ind w:left="1300" w:hanging="360"/>
      <w:jc w:val="both"/>
    </w:pPr>
    <w:rPr/>
  </w:style>
  <w:style w:type="character" w:customStyle="1" w:styleId="style4097">
    <w:name w:val="Heading 1 Char_030c8387-6cbd-477f-a614-2ec436eb3c45"/>
    <w:basedOn w:val="style65"/>
    <w:next w:val="style4097"/>
    <w:link w:val="style1"/>
    <w:uiPriority w:val="9"/>
    <w:rPr>
      <w:rFonts w:ascii="Times New Roman" w:cs="Times New Roman" w:eastAsia="Times New Roman" w:hAnsi="Times New Roman"/>
      <w:b/>
      <w:bCs/>
      <w:sz w:val="26"/>
      <w:szCs w:val="26"/>
    </w:rPr>
  </w:style>
  <w:style w:type="paragraph" w:styleId="style66">
    <w:name w:val="Body Text"/>
    <w:basedOn w:val="style0"/>
    <w:next w:val="style66"/>
    <w:link w:val="style4098"/>
    <w:qFormat/>
    <w:uiPriority w:val="1"/>
    <w:pPr>
      <w:ind w:left="580"/>
      <w:jc w:val="both"/>
    </w:pPr>
    <w:rPr>
      <w:sz w:val="26"/>
      <w:szCs w:val="26"/>
    </w:rPr>
  </w:style>
  <w:style w:type="character" w:customStyle="1" w:styleId="style4098">
    <w:name w:val="Body Text Char"/>
    <w:basedOn w:val="style65"/>
    <w:next w:val="style4098"/>
    <w:link w:val="style66"/>
    <w:uiPriority w:val="1"/>
    <w:rPr>
      <w:rFonts w:ascii="Times New Roman" w:cs="Times New Roman" w:eastAsia="Times New Roman" w:hAnsi="Times New Roman"/>
      <w:sz w:val="26"/>
      <w:szCs w:val="2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1879</Words>
  <Pages>1</Pages>
  <Characters>10011</Characters>
  <Application>WPS Office</Application>
  <DocSecurity>0</DocSecurity>
  <Paragraphs>143</Paragraphs>
  <ScaleCrop>false</ScaleCrop>
  <Company>HP</Company>
  <LinksUpToDate>false</LinksUpToDate>
  <CharactersWithSpaces>11829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2025-05-04T11:57:00Z</dcterms:created>
  <dc:creator>COMMENT</dc:creator>
  <lastModifiedBy>Infinix X6710</lastModifiedBy>
  <dcterms:modified xsi:type="dcterms:W3CDTF">2025-05-05T09:50:38Z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974492f913ee4c718f5cf9e46b6945e2</vt:lpwstr>
  </property>
</Properties>
</file>