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1309" w:rsidRPr="006A1136" w:rsidRDefault="00EB1309" w:rsidP="0036468F">
      <w:pPr>
        <w:spacing w:after="0" w:line="240" w:lineRule="auto"/>
        <w:jc w:val="both"/>
        <w:rPr>
          <w:rFonts w:ascii="Times New Roman" w:hAnsi="Times New Roman" w:cs="Times New Roman"/>
          <w:sz w:val="24"/>
          <w:szCs w:val="24"/>
        </w:rPr>
      </w:pPr>
    </w:p>
    <w:p w:rsidR="00EB1309" w:rsidRPr="006A1136" w:rsidRDefault="00EB1309" w:rsidP="0036468F">
      <w:pPr>
        <w:spacing w:after="0" w:line="240" w:lineRule="auto"/>
        <w:jc w:val="both"/>
        <w:rPr>
          <w:rFonts w:ascii="Times New Roman" w:hAnsi="Times New Roman" w:cs="Times New Roman"/>
          <w:sz w:val="24"/>
          <w:szCs w:val="24"/>
        </w:rPr>
      </w:pPr>
    </w:p>
    <w:p w:rsidR="00EB1309" w:rsidRPr="006A1136" w:rsidRDefault="00F123E1" w:rsidP="0036468F">
      <w:pPr>
        <w:spacing w:after="0" w:line="240" w:lineRule="auto"/>
        <w:jc w:val="center"/>
        <w:rPr>
          <w:rFonts w:ascii="Times New Roman" w:hAnsi="Times New Roman" w:cs="Times New Roman"/>
          <w:sz w:val="24"/>
          <w:szCs w:val="24"/>
        </w:rPr>
      </w:pPr>
      <w:r w:rsidRPr="006A1136">
        <w:rPr>
          <w:rFonts w:ascii="Times New Roman" w:hAnsi="Times New Roman" w:cs="Times New Roman"/>
          <w:sz w:val="24"/>
          <w:szCs w:val="24"/>
        </w:rPr>
        <w:t>Council of Legal Education</w:t>
      </w:r>
    </w:p>
    <w:p w:rsidR="00EB1309" w:rsidRPr="006A1136" w:rsidRDefault="00F123E1" w:rsidP="0036468F">
      <w:pPr>
        <w:spacing w:after="0" w:line="240" w:lineRule="auto"/>
        <w:jc w:val="center"/>
        <w:rPr>
          <w:rFonts w:ascii="Times New Roman" w:hAnsi="Times New Roman" w:cs="Times New Roman"/>
          <w:sz w:val="24"/>
          <w:szCs w:val="24"/>
        </w:rPr>
      </w:pPr>
      <w:r w:rsidRPr="006A1136">
        <w:rPr>
          <w:rFonts w:ascii="Times New Roman" w:hAnsi="Times New Roman" w:cs="Times New Roman"/>
          <w:sz w:val="24"/>
          <w:szCs w:val="24"/>
        </w:rPr>
        <w:t>Nigerian Law School</w:t>
      </w:r>
    </w:p>
    <w:p w:rsidR="00EB1309" w:rsidRPr="006A1136" w:rsidRDefault="00F123E1" w:rsidP="0036468F">
      <w:pPr>
        <w:spacing w:after="0" w:line="240" w:lineRule="auto"/>
        <w:jc w:val="center"/>
        <w:rPr>
          <w:rFonts w:ascii="Times New Roman" w:hAnsi="Times New Roman" w:cs="Times New Roman"/>
          <w:sz w:val="24"/>
          <w:szCs w:val="24"/>
        </w:rPr>
      </w:pPr>
      <w:r w:rsidRPr="006A1136">
        <w:rPr>
          <w:rFonts w:ascii="Times New Roman" w:hAnsi="Times New Roman" w:cs="Times New Roman"/>
          <w:sz w:val="24"/>
          <w:szCs w:val="24"/>
        </w:rPr>
        <w:t>Yenagoa Campus</w:t>
      </w:r>
    </w:p>
    <w:p w:rsidR="00EB1309" w:rsidRPr="006A1136" w:rsidRDefault="00F123E1" w:rsidP="0036468F">
      <w:pPr>
        <w:spacing w:after="0" w:line="240" w:lineRule="auto"/>
        <w:jc w:val="center"/>
        <w:rPr>
          <w:rFonts w:ascii="Times New Roman" w:hAnsi="Times New Roman" w:cs="Times New Roman"/>
          <w:sz w:val="24"/>
          <w:szCs w:val="24"/>
        </w:rPr>
      </w:pPr>
      <w:r w:rsidRPr="006A1136">
        <w:rPr>
          <w:rFonts w:ascii="Times New Roman" w:hAnsi="Times New Roman" w:cs="Times New Roman"/>
          <w:sz w:val="24"/>
          <w:szCs w:val="24"/>
        </w:rPr>
        <w:t>2025/2026 Session</w:t>
      </w:r>
    </w:p>
    <w:p w:rsidR="00EB1309" w:rsidRPr="006A1136" w:rsidRDefault="00F123E1" w:rsidP="0036468F">
      <w:pPr>
        <w:spacing w:after="0" w:line="240" w:lineRule="auto"/>
        <w:jc w:val="center"/>
        <w:rPr>
          <w:rFonts w:ascii="Times New Roman" w:hAnsi="Times New Roman" w:cs="Times New Roman"/>
          <w:sz w:val="24"/>
          <w:szCs w:val="24"/>
        </w:rPr>
      </w:pPr>
      <w:r w:rsidRPr="006A1136">
        <w:rPr>
          <w:rFonts w:ascii="Times New Roman" w:hAnsi="Times New Roman" w:cs="Times New Roman"/>
          <w:sz w:val="24"/>
          <w:szCs w:val="24"/>
        </w:rPr>
        <w:t>Civil Litigation Department</w:t>
      </w:r>
    </w:p>
    <w:p w:rsidR="00EB1309" w:rsidRPr="006A1136" w:rsidRDefault="00EB1309" w:rsidP="0036468F">
      <w:pPr>
        <w:spacing w:after="0" w:line="240" w:lineRule="auto"/>
        <w:jc w:val="center"/>
        <w:rPr>
          <w:rFonts w:ascii="Times New Roman" w:hAnsi="Times New Roman" w:cs="Times New Roman"/>
          <w:sz w:val="24"/>
          <w:szCs w:val="24"/>
        </w:rPr>
      </w:pPr>
    </w:p>
    <w:p w:rsidR="00EB1309" w:rsidRPr="006A1136" w:rsidRDefault="00F123E1" w:rsidP="0036468F">
      <w:pPr>
        <w:spacing w:after="0" w:line="240" w:lineRule="auto"/>
        <w:jc w:val="center"/>
        <w:rPr>
          <w:rFonts w:ascii="Times New Roman" w:hAnsi="Times New Roman" w:cs="Times New Roman"/>
          <w:sz w:val="24"/>
          <w:szCs w:val="24"/>
        </w:rPr>
      </w:pPr>
      <w:r w:rsidRPr="006A1136">
        <w:rPr>
          <w:rFonts w:ascii="Times New Roman" w:hAnsi="Times New Roman" w:cs="Times New Roman"/>
          <w:sz w:val="24"/>
          <w:szCs w:val="24"/>
        </w:rPr>
        <w:t>Pre-Class Tasks for Week 3 – April 24, 2025</w:t>
      </w:r>
    </w:p>
    <w:p w:rsidR="00EB1309" w:rsidRPr="006A1136" w:rsidRDefault="00EB1309" w:rsidP="0036468F">
      <w:pPr>
        <w:spacing w:after="0" w:line="240" w:lineRule="auto"/>
        <w:jc w:val="center"/>
        <w:rPr>
          <w:rFonts w:ascii="Times New Roman" w:hAnsi="Times New Roman" w:cs="Times New Roman"/>
          <w:sz w:val="24"/>
          <w:szCs w:val="24"/>
        </w:rPr>
      </w:pPr>
    </w:p>
    <w:p w:rsidR="00EB1309" w:rsidRPr="006A1136" w:rsidRDefault="00F123E1" w:rsidP="0036468F">
      <w:pPr>
        <w:spacing w:after="0" w:line="240" w:lineRule="auto"/>
        <w:jc w:val="both"/>
        <w:rPr>
          <w:rFonts w:ascii="Times New Roman" w:hAnsi="Times New Roman" w:cs="Times New Roman"/>
          <w:b/>
          <w:sz w:val="24"/>
          <w:szCs w:val="24"/>
        </w:rPr>
      </w:pPr>
      <w:r w:rsidRPr="006A1136">
        <w:rPr>
          <w:rFonts w:ascii="Times New Roman" w:hAnsi="Times New Roman" w:cs="Times New Roman"/>
          <w:b/>
          <w:sz w:val="24"/>
          <w:szCs w:val="24"/>
        </w:rPr>
        <w:t>CASE STUDY 1</w:t>
      </w:r>
    </w:p>
    <w:p w:rsidR="00EB1309" w:rsidRPr="006A1136" w:rsidRDefault="00EB1309" w:rsidP="0036468F">
      <w:pPr>
        <w:spacing w:after="0" w:line="240" w:lineRule="auto"/>
        <w:jc w:val="both"/>
        <w:rPr>
          <w:rFonts w:ascii="Times New Roman" w:hAnsi="Times New Roman" w:cs="Times New Roman"/>
          <w:sz w:val="24"/>
          <w:szCs w:val="24"/>
        </w:rPr>
      </w:pPr>
    </w:p>
    <w:p w:rsidR="00EB1309" w:rsidRPr="006A1136" w:rsidRDefault="00F123E1" w:rsidP="0036468F">
      <w:p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Crown Kitchen Ltd sued K &amp; T L</w:t>
      </w:r>
      <w:r w:rsidRPr="006A1136">
        <w:rPr>
          <w:rFonts w:ascii="Times New Roman" w:hAnsi="Times New Roman" w:cs="Times New Roman"/>
          <w:sz w:val="24"/>
          <w:szCs w:val="24"/>
        </w:rPr>
        <w:t xml:space="preserve">td at the Lagos State High Court sitting in </w:t>
      </w:r>
      <w:r w:rsidRPr="006A1136">
        <w:rPr>
          <w:rFonts w:ascii="Times New Roman" w:hAnsi="Times New Roman" w:cs="Times New Roman"/>
          <w:sz w:val="24"/>
          <w:szCs w:val="24"/>
        </w:rPr>
        <w:t>Ikeja, seeking a declaration that the contract and partnership entered into by the parties was still valid and subsisting. Crown Kitchen also sought:</w:t>
      </w:r>
    </w:p>
    <w:p w:rsidR="00EB1309" w:rsidRPr="006A1136" w:rsidRDefault="00EB1309" w:rsidP="0036468F">
      <w:pPr>
        <w:spacing w:after="0" w:line="240" w:lineRule="auto"/>
        <w:jc w:val="both"/>
        <w:rPr>
          <w:rFonts w:ascii="Times New Roman" w:hAnsi="Times New Roman" w:cs="Times New Roman"/>
          <w:sz w:val="24"/>
          <w:szCs w:val="24"/>
        </w:rPr>
      </w:pPr>
    </w:p>
    <w:p w:rsidR="00C94BD1" w:rsidRPr="006A1136" w:rsidRDefault="00F123E1" w:rsidP="0036468F">
      <w:pPr>
        <w:pStyle w:val="ListParagraph"/>
        <w:numPr>
          <w:ilvl w:val="0"/>
          <w:numId w:val="6"/>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An order of perpetual injunction restraining K &amp; T Ltd from converting 20 vehicles to its sole use;</w:t>
      </w:r>
    </w:p>
    <w:p w:rsidR="00C94BD1" w:rsidRPr="006A1136" w:rsidRDefault="00F123E1" w:rsidP="0036468F">
      <w:pPr>
        <w:pStyle w:val="ListParagraph"/>
        <w:numPr>
          <w:ilvl w:val="0"/>
          <w:numId w:val="6"/>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An o</w:t>
      </w:r>
      <w:r w:rsidRPr="006A1136">
        <w:rPr>
          <w:rFonts w:ascii="Times New Roman" w:hAnsi="Times New Roman" w:cs="Times New Roman"/>
          <w:sz w:val="24"/>
          <w:szCs w:val="24"/>
        </w:rPr>
        <w:t>rder directing the division of the vehicles among the parties;</w:t>
      </w:r>
    </w:p>
    <w:p w:rsidR="00EB1309" w:rsidRPr="006A1136" w:rsidRDefault="00F123E1" w:rsidP="0036468F">
      <w:pPr>
        <w:pStyle w:val="ListParagraph"/>
        <w:numPr>
          <w:ilvl w:val="0"/>
          <w:numId w:val="6"/>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Payment of the sum of ₦2.17 million being the proceeds of a contract performed by the parties from March 2018 to December 2018.</w:t>
      </w:r>
    </w:p>
    <w:p w:rsidR="00EB1309" w:rsidRPr="006A1136" w:rsidRDefault="00EB1309" w:rsidP="0036468F">
      <w:pPr>
        <w:spacing w:after="0" w:line="240" w:lineRule="auto"/>
        <w:jc w:val="both"/>
        <w:rPr>
          <w:rFonts w:ascii="Times New Roman" w:hAnsi="Times New Roman" w:cs="Times New Roman"/>
          <w:sz w:val="24"/>
          <w:szCs w:val="24"/>
        </w:rPr>
      </w:pPr>
    </w:p>
    <w:p w:rsidR="00EB1309" w:rsidRPr="006A1136" w:rsidRDefault="00F123E1" w:rsidP="0036468F">
      <w:p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Although the agreement was executed in Ikeja, performance of t</w:t>
      </w:r>
      <w:r w:rsidRPr="006A1136">
        <w:rPr>
          <w:rFonts w:ascii="Times New Roman" w:hAnsi="Times New Roman" w:cs="Times New Roman"/>
          <w:sz w:val="24"/>
          <w:szCs w:val="24"/>
        </w:rPr>
        <w:t>he contract was intended for Ikoyi, Lagos, where K &amp; T Ltd had its office. A clause in the contract required the parties to submit to conciliation before initiating litigation. Crown Kitchen Ltd had heard that matters are resolved faster at the Magistrate’</w:t>
      </w:r>
      <w:r w:rsidRPr="006A1136">
        <w:rPr>
          <w:rFonts w:ascii="Times New Roman" w:hAnsi="Times New Roman" w:cs="Times New Roman"/>
          <w:sz w:val="24"/>
          <w:szCs w:val="24"/>
        </w:rPr>
        <w:t>s Court due to its summary jurisdiction. Nevertheless, their counsel, Okonkwo &amp; Co., filed an originating summons at the Lagos High Court, Ikeja.</w:t>
      </w:r>
    </w:p>
    <w:p w:rsidR="00EB1309" w:rsidRPr="006A1136" w:rsidRDefault="00EB1309" w:rsidP="0036468F">
      <w:pPr>
        <w:spacing w:after="0" w:line="240" w:lineRule="auto"/>
        <w:jc w:val="both"/>
        <w:rPr>
          <w:rFonts w:ascii="Times New Roman" w:hAnsi="Times New Roman" w:cs="Times New Roman"/>
          <w:sz w:val="24"/>
          <w:szCs w:val="24"/>
        </w:rPr>
      </w:pPr>
    </w:p>
    <w:p w:rsidR="00B77D2F" w:rsidRPr="006A1136" w:rsidRDefault="00F123E1" w:rsidP="0036468F">
      <w:p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Upon service of the originating summons, K &amp; T Ltd entered a conditional appearance and filed a preliminary o</w:t>
      </w:r>
      <w:r w:rsidRPr="006A1136">
        <w:rPr>
          <w:rFonts w:ascii="Times New Roman" w:hAnsi="Times New Roman" w:cs="Times New Roman"/>
          <w:sz w:val="24"/>
          <w:szCs w:val="24"/>
        </w:rPr>
        <w:t>bjection on the grounds that:</w:t>
      </w:r>
    </w:p>
    <w:p w:rsidR="00B77D2F" w:rsidRPr="006A1136" w:rsidRDefault="00B77D2F" w:rsidP="0036468F">
      <w:pPr>
        <w:spacing w:after="0" w:line="240" w:lineRule="auto"/>
        <w:jc w:val="both"/>
        <w:rPr>
          <w:rFonts w:ascii="Times New Roman" w:hAnsi="Times New Roman" w:cs="Times New Roman"/>
          <w:sz w:val="24"/>
          <w:szCs w:val="24"/>
        </w:rPr>
      </w:pPr>
    </w:p>
    <w:p w:rsidR="00B77D2F" w:rsidRPr="006A1136" w:rsidRDefault="00F123E1" w:rsidP="0036468F">
      <w:pPr>
        <w:pStyle w:val="ListParagraph"/>
        <w:numPr>
          <w:ilvl w:val="0"/>
          <w:numId w:val="7"/>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The matter had not first been submitted to conciliation;</w:t>
      </w:r>
    </w:p>
    <w:p w:rsidR="00B77D2F" w:rsidRPr="006A1136" w:rsidRDefault="00F123E1" w:rsidP="0036468F">
      <w:pPr>
        <w:pStyle w:val="ListParagraph"/>
        <w:numPr>
          <w:ilvl w:val="0"/>
          <w:numId w:val="7"/>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The suit was filed in the wrong judicial division;</w:t>
      </w:r>
    </w:p>
    <w:p w:rsidR="00EB1309" w:rsidRPr="006A1136" w:rsidRDefault="00F123E1" w:rsidP="0036468F">
      <w:pPr>
        <w:pStyle w:val="ListParagraph"/>
        <w:numPr>
          <w:ilvl w:val="0"/>
          <w:numId w:val="7"/>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The wrong originating process was used.</w:t>
      </w:r>
    </w:p>
    <w:p w:rsidR="00EB1309" w:rsidRPr="006A1136" w:rsidRDefault="00EB1309" w:rsidP="0036468F">
      <w:pPr>
        <w:spacing w:after="0" w:line="240" w:lineRule="auto"/>
        <w:jc w:val="both"/>
        <w:rPr>
          <w:rFonts w:ascii="Times New Roman" w:hAnsi="Times New Roman" w:cs="Times New Roman"/>
          <w:sz w:val="24"/>
          <w:szCs w:val="24"/>
        </w:rPr>
      </w:pPr>
    </w:p>
    <w:p w:rsidR="00EB1309" w:rsidRPr="006A1136" w:rsidRDefault="00F123E1" w:rsidP="0036468F">
      <w:p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The court overruled all grounds of the preliminary objection.</w:t>
      </w:r>
      <w:r w:rsidR="00B77D2F" w:rsidRPr="006A1136">
        <w:rPr>
          <w:rFonts w:ascii="Times New Roman" w:hAnsi="Times New Roman" w:cs="Times New Roman"/>
          <w:sz w:val="24"/>
          <w:szCs w:val="24"/>
        </w:rPr>
        <w:t xml:space="preserve"> </w:t>
      </w:r>
      <w:r w:rsidRPr="006A1136">
        <w:rPr>
          <w:rFonts w:ascii="Times New Roman" w:hAnsi="Times New Roman" w:cs="Times New Roman"/>
          <w:sz w:val="24"/>
          <w:szCs w:val="24"/>
        </w:rPr>
        <w:t xml:space="preserve">Crown Kitchen Ltd then filed an application for an interlocutory injunction to restrain K &amp; T Ltd from converting the 20 vehicles. K &amp; T did not file a counter affidavit. On the hearing date, Crown Kitchen’s counsel argued that K &amp; T could not be heard, </w:t>
      </w:r>
      <w:r w:rsidRPr="006A1136">
        <w:rPr>
          <w:rFonts w:ascii="Times New Roman" w:hAnsi="Times New Roman" w:cs="Times New Roman"/>
          <w:sz w:val="24"/>
          <w:szCs w:val="24"/>
        </w:rPr>
        <w:t>having failed to file a counter affidavit. However, Crown Kitchen failed to plead the contract agreement in its statement of claim.</w:t>
      </w:r>
    </w:p>
    <w:p w:rsidR="00EB1309" w:rsidRPr="006A1136" w:rsidRDefault="00EB1309" w:rsidP="0036468F">
      <w:pPr>
        <w:spacing w:after="0" w:line="240" w:lineRule="auto"/>
        <w:jc w:val="both"/>
        <w:rPr>
          <w:rFonts w:ascii="Times New Roman" w:hAnsi="Times New Roman" w:cs="Times New Roman"/>
          <w:sz w:val="24"/>
          <w:szCs w:val="24"/>
        </w:rPr>
      </w:pPr>
    </w:p>
    <w:p w:rsidR="00EB1309" w:rsidRPr="006A1136" w:rsidRDefault="00F123E1" w:rsidP="0036468F">
      <w:p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After trial, the judge granted the claimant’s claims. Dissatisfied, K &amp; T Ltd appealed and included a challenge against the</w:t>
      </w:r>
      <w:r w:rsidRPr="006A1136">
        <w:rPr>
          <w:rFonts w:ascii="Times New Roman" w:hAnsi="Times New Roman" w:cs="Times New Roman"/>
          <w:sz w:val="24"/>
          <w:szCs w:val="24"/>
        </w:rPr>
        <w:t xml:space="preserve"> ruling on the preliminary objection in their substantive appeal. They also applied for a stay of execution of the High Court’s judgment. While that application was pending, Crown Kitchen’s counsel applied for and executed a writ of fifa.</w:t>
      </w:r>
    </w:p>
    <w:p w:rsidR="00EB1309" w:rsidRPr="006A1136" w:rsidRDefault="00EB1309" w:rsidP="0036468F">
      <w:pPr>
        <w:spacing w:after="0" w:line="240" w:lineRule="auto"/>
        <w:jc w:val="both"/>
        <w:rPr>
          <w:rFonts w:ascii="Times New Roman" w:hAnsi="Times New Roman" w:cs="Times New Roman"/>
          <w:sz w:val="24"/>
          <w:szCs w:val="24"/>
        </w:rPr>
      </w:pPr>
    </w:p>
    <w:p w:rsidR="00EB1309" w:rsidRPr="006A1136" w:rsidRDefault="00F123E1" w:rsidP="0036468F">
      <w:p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lastRenderedPageBreak/>
        <w:t>A few days befor</w:t>
      </w:r>
      <w:r w:rsidRPr="006A1136">
        <w:rPr>
          <w:rFonts w:ascii="Times New Roman" w:hAnsi="Times New Roman" w:cs="Times New Roman"/>
          <w:sz w:val="24"/>
          <w:szCs w:val="24"/>
        </w:rPr>
        <w:t>e the scheduled appeal hearing, Crown Kitchen’s counsel filed and served a preliminary objection on the ground that leave of court was not sought before the appeal was filed. In their notice of appeal, K &amp; T raised the issue of the contract’s illegality fo</w:t>
      </w:r>
      <w:r w:rsidRPr="006A1136">
        <w:rPr>
          <w:rFonts w:ascii="Times New Roman" w:hAnsi="Times New Roman" w:cs="Times New Roman"/>
          <w:sz w:val="24"/>
          <w:szCs w:val="24"/>
        </w:rPr>
        <w:t>r the first time. They filed four grounds of appeal and formulated twelve issues for determination. Although K &amp; T’s counsel had filed the appellant’s brief within time, he was absent on the hearing date. The Court of Appeal, Lagos, allowed the appeal in p</w:t>
      </w:r>
      <w:r w:rsidRPr="006A1136">
        <w:rPr>
          <w:rFonts w:ascii="Times New Roman" w:hAnsi="Times New Roman" w:cs="Times New Roman"/>
          <w:sz w:val="24"/>
          <w:szCs w:val="24"/>
        </w:rPr>
        <w:t>art.</w:t>
      </w:r>
    </w:p>
    <w:p w:rsidR="00EB1309" w:rsidRPr="006A1136" w:rsidRDefault="00EB1309" w:rsidP="0036468F">
      <w:pPr>
        <w:spacing w:after="0" w:line="240" w:lineRule="auto"/>
        <w:jc w:val="both"/>
        <w:rPr>
          <w:rFonts w:ascii="Times New Roman" w:hAnsi="Times New Roman" w:cs="Times New Roman"/>
          <w:sz w:val="24"/>
          <w:szCs w:val="24"/>
        </w:rPr>
      </w:pPr>
    </w:p>
    <w:p w:rsidR="00EB1309" w:rsidRPr="006A1136" w:rsidRDefault="00F123E1" w:rsidP="0036468F">
      <w:p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Answer the following questions:</w:t>
      </w:r>
    </w:p>
    <w:p w:rsidR="00EB1309" w:rsidRPr="006A1136" w:rsidRDefault="00EB1309" w:rsidP="0036468F">
      <w:pPr>
        <w:spacing w:after="0" w:line="240" w:lineRule="auto"/>
        <w:jc w:val="both"/>
        <w:rPr>
          <w:rFonts w:ascii="Times New Roman" w:hAnsi="Times New Roman" w:cs="Times New Roman"/>
          <w:sz w:val="24"/>
          <w:szCs w:val="24"/>
        </w:rPr>
      </w:pPr>
    </w:p>
    <w:p w:rsidR="00B77D2F" w:rsidRPr="006A1136" w:rsidRDefault="00F123E1" w:rsidP="0036468F">
      <w:pPr>
        <w:pStyle w:val="ListParagraph"/>
        <w:numPr>
          <w:ilvl w:val="0"/>
          <w:numId w:val="8"/>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Is litigation the only mechanism available to Crown Kitchen Ltd for resolving the dispute?</w:t>
      </w:r>
    </w:p>
    <w:p w:rsidR="00B77D2F" w:rsidRPr="006A1136" w:rsidRDefault="00F123E1" w:rsidP="0036468F">
      <w:pPr>
        <w:pStyle w:val="ListParagraph"/>
        <w:numPr>
          <w:ilvl w:val="0"/>
          <w:numId w:val="8"/>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What alternative dispute resolution (ADR) methods are available to Crown Kitchen Ltd?</w:t>
      </w:r>
    </w:p>
    <w:p w:rsidR="00B77D2F" w:rsidRPr="006A1136" w:rsidRDefault="00F123E1" w:rsidP="0036468F">
      <w:pPr>
        <w:pStyle w:val="ListParagraph"/>
        <w:numPr>
          <w:ilvl w:val="0"/>
          <w:numId w:val="8"/>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State the advantages and di</w:t>
      </w:r>
      <w:r w:rsidRPr="006A1136">
        <w:rPr>
          <w:rFonts w:ascii="Times New Roman" w:hAnsi="Times New Roman" w:cs="Times New Roman"/>
          <w:sz w:val="24"/>
          <w:szCs w:val="24"/>
        </w:rPr>
        <w:t>sadvantages of each ADR method listed in (2) above.</w:t>
      </w:r>
    </w:p>
    <w:p w:rsidR="00B77D2F" w:rsidRPr="006A1136" w:rsidRDefault="00F123E1" w:rsidP="0036468F">
      <w:pPr>
        <w:pStyle w:val="ListParagraph"/>
        <w:numPr>
          <w:ilvl w:val="0"/>
          <w:numId w:val="8"/>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 xml:space="preserve">Was Crown Kitchen </w:t>
      </w:r>
      <w:proofErr w:type="spellStart"/>
      <w:r w:rsidRPr="006A1136">
        <w:rPr>
          <w:rFonts w:ascii="Times New Roman" w:hAnsi="Times New Roman" w:cs="Times New Roman"/>
          <w:sz w:val="24"/>
          <w:szCs w:val="24"/>
        </w:rPr>
        <w:t>Ltd’s</w:t>
      </w:r>
      <w:proofErr w:type="spellEnd"/>
      <w:r w:rsidRPr="006A1136">
        <w:rPr>
          <w:rFonts w:ascii="Times New Roman" w:hAnsi="Times New Roman" w:cs="Times New Roman"/>
          <w:sz w:val="24"/>
          <w:szCs w:val="24"/>
        </w:rPr>
        <w:t xml:space="preserve"> counsel right to approach the Lagos High Court (Ikeja Judicial Division)? Give reasons for your answer.</w:t>
      </w:r>
    </w:p>
    <w:p w:rsidR="00B77D2F" w:rsidRPr="006A1136" w:rsidRDefault="00F123E1" w:rsidP="0036468F">
      <w:pPr>
        <w:pStyle w:val="ListParagraph"/>
        <w:numPr>
          <w:ilvl w:val="0"/>
          <w:numId w:val="8"/>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 xml:space="preserve"> List the ethical issues arising from:</w:t>
      </w:r>
    </w:p>
    <w:p w:rsidR="00B77D2F" w:rsidRPr="006A1136" w:rsidRDefault="00F123E1" w:rsidP="00B77D2F">
      <w:pPr>
        <w:pStyle w:val="ListParagraph"/>
        <w:numPr>
          <w:ilvl w:val="2"/>
          <w:numId w:val="8"/>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 xml:space="preserve">Improper use of court </w:t>
      </w:r>
      <w:r w:rsidRPr="006A1136">
        <w:rPr>
          <w:rFonts w:ascii="Times New Roman" w:hAnsi="Times New Roman" w:cs="Times New Roman"/>
          <w:sz w:val="24"/>
          <w:szCs w:val="24"/>
        </w:rPr>
        <w:t>rules;</w:t>
      </w:r>
    </w:p>
    <w:p w:rsidR="00B77D2F" w:rsidRPr="006A1136" w:rsidRDefault="00F123E1" w:rsidP="0036468F">
      <w:pPr>
        <w:pStyle w:val="ListParagraph"/>
        <w:numPr>
          <w:ilvl w:val="2"/>
          <w:numId w:val="8"/>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Failure to advise or encourage parties to explore ADR before litigation;</w:t>
      </w:r>
    </w:p>
    <w:p w:rsidR="00EB1309" w:rsidRPr="006A1136" w:rsidRDefault="00F123E1" w:rsidP="0036468F">
      <w:pPr>
        <w:pStyle w:val="ListParagraph"/>
        <w:numPr>
          <w:ilvl w:val="2"/>
          <w:numId w:val="8"/>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Wrong choice of court.</w:t>
      </w:r>
    </w:p>
    <w:p w:rsidR="00EB1309" w:rsidRPr="006A1136" w:rsidRDefault="00EB1309" w:rsidP="0036468F">
      <w:pPr>
        <w:spacing w:after="0" w:line="240" w:lineRule="auto"/>
        <w:jc w:val="both"/>
        <w:rPr>
          <w:rFonts w:ascii="Times New Roman" w:hAnsi="Times New Roman" w:cs="Times New Roman"/>
          <w:sz w:val="24"/>
          <w:szCs w:val="24"/>
        </w:rPr>
      </w:pPr>
    </w:p>
    <w:p w:rsidR="00EB1309" w:rsidRPr="006A1136" w:rsidRDefault="00EB1309" w:rsidP="0036468F">
      <w:pPr>
        <w:spacing w:after="0" w:line="240" w:lineRule="auto"/>
        <w:jc w:val="both"/>
        <w:rPr>
          <w:rFonts w:ascii="Times New Roman" w:hAnsi="Times New Roman" w:cs="Times New Roman"/>
          <w:sz w:val="24"/>
          <w:szCs w:val="24"/>
        </w:rPr>
      </w:pPr>
    </w:p>
    <w:p w:rsidR="00EB1309" w:rsidRPr="006A1136" w:rsidRDefault="00F123E1" w:rsidP="0036468F">
      <w:pPr>
        <w:spacing w:after="0" w:line="240" w:lineRule="auto"/>
        <w:jc w:val="both"/>
        <w:rPr>
          <w:rFonts w:ascii="Times New Roman" w:hAnsi="Times New Roman" w:cs="Times New Roman"/>
          <w:b/>
          <w:sz w:val="24"/>
          <w:szCs w:val="24"/>
        </w:rPr>
      </w:pPr>
      <w:r w:rsidRPr="006A1136">
        <w:rPr>
          <w:rFonts w:ascii="Times New Roman" w:hAnsi="Times New Roman" w:cs="Times New Roman"/>
          <w:b/>
          <w:sz w:val="24"/>
          <w:szCs w:val="24"/>
        </w:rPr>
        <w:t>CASE STUDY 2</w:t>
      </w:r>
    </w:p>
    <w:p w:rsidR="00EB1309" w:rsidRPr="006A1136" w:rsidRDefault="00EB1309" w:rsidP="0036468F">
      <w:pPr>
        <w:spacing w:after="0" w:line="240" w:lineRule="auto"/>
        <w:jc w:val="both"/>
        <w:rPr>
          <w:rFonts w:ascii="Times New Roman" w:hAnsi="Times New Roman" w:cs="Times New Roman"/>
          <w:sz w:val="24"/>
          <w:szCs w:val="24"/>
        </w:rPr>
      </w:pPr>
    </w:p>
    <w:p w:rsidR="00EB1309" w:rsidRPr="006A1136" w:rsidRDefault="00F123E1" w:rsidP="0036468F">
      <w:p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In March 2018, Mrs. Kayuba Ada (the Claimant) entered into a contract in Lagos with Agricultural Bank PLC to supply 500 tons of</w:t>
      </w:r>
      <w:r w:rsidRPr="006A1136">
        <w:rPr>
          <w:rFonts w:ascii="Times New Roman" w:hAnsi="Times New Roman" w:cs="Times New Roman"/>
          <w:sz w:val="24"/>
          <w:szCs w:val="24"/>
        </w:rPr>
        <w:t xml:space="preserve"> cashew nuts worth ₦10,000,000 for export to Malaysia. The contract provided that a down payment of ₦3,000,000 would be made prior to export, and the balance paid upon delivery.</w:t>
      </w:r>
      <w:r w:rsidR="00B77D2F" w:rsidRPr="006A1136">
        <w:rPr>
          <w:rFonts w:ascii="Times New Roman" w:hAnsi="Times New Roman" w:cs="Times New Roman"/>
          <w:sz w:val="24"/>
          <w:szCs w:val="24"/>
        </w:rPr>
        <w:t xml:space="preserve"> </w:t>
      </w:r>
      <w:r w:rsidRPr="006A1136">
        <w:rPr>
          <w:rFonts w:ascii="Times New Roman" w:hAnsi="Times New Roman" w:cs="Times New Roman"/>
          <w:sz w:val="24"/>
          <w:szCs w:val="24"/>
        </w:rPr>
        <w:t>After receiving the down payment, the Claimant supplied the goods. However, A</w:t>
      </w:r>
      <w:r w:rsidRPr="006A1136">
        <w:rPr>
          <w:rFonts w:ascii="Times New Roman" w:hAnsi="Times New Roman" w:cs="Times New Roman"/>
          <w:sz w:val="24"/>
          <w:szCs w:val="24"/>
        </w:rPr>
        <w:t>gricultural Bank refused to pay the balance, despite repeated demand letters. On June 1, 2018, the Bank wrote to the Claimant, alleging that the goods were inferior to the agreed standard.</w:t>
      </w:r>
      <w:r w:rsidR="00B77D2F" w:rsidRPr="006A1136">
        <w:rPr>
          <w:rFonts w:ascii="Times New Roman" w:hAnsi="Times New Roman" w:cs="Times New Roman"/>
          <w:sz w:val="24"/>
          <w:szCs w:val="24"/>
        </w:rPr>
        <w:t xml:space="preserve"> </w:t>
      </w:r>
      <w:r w:rsidRPr="006A1136">
        <w:rPr>
          <w:rFonts w:ascii="Times New Roman" w:hAnsi="Times New Roman" w:cs="Times New Roman"/>
          <w:sz w:val="24"/>
          <w:szCs w:val="24"/>
        </w:rPr>
        <w:t xml:space="preserve">On June 19, 2018, the Claimant filed an action at the Lagos State </w:t>
      </w:r>
      <w:r w:rsidRPr="006A1136">
        <w:rPr>
          <w:rFonts w:ascii="Times New Roman" w:hAnsi="Times New Roman" w:cs="Times New Roman"/>
          <w:sz w:val="24"/>
          <w:szCs w:val="24"/>
        </w:rPr>
        <w:t>High Court, seeking ₦7,000,000 (the contract balance), ₦4,000,000 in special damages, and ₦3,000,000 in general damages. Pleadings were filed and exchanged, trial commenced, and both parties closed their cases.</w:t>
      </w:r>
      <w:r w:rsidR="00B77D2F" w:rsidRPr="006A1136">
        <w:rPr>
          <w:rFonts w:ascii="Times New Roman" w:hAnsi="Times New Roman" w:cs="Times New Roman"/>
          <w:sz w:val="24"/>
          <w:szCs w:val="24"/>
        </w:rPr>
        <w:t xml:space="preserve"> </w:t>
      </w:r>
      <w:r w:rsidRPr="006A1136">
        <w:rPr>
          <w:rFonts w:ascii="Times New Roman" w:hAnsi="Times New Roman" w:cs="Times New Roman"/>
          <w:sz w:val="24"/>
          <w:szCs w:val="24"/>
        </w:rPr>
        <w:t xml:space="preserve">Before judgment was delivered, Agricultural </w:t>
      </w:r>
      <w:r w:rsidRPr="006A1136">
        <w:rPr>
          <w:rFonts w:ascii="Times New Roman" w:hAnsi="Times New Roman" w:cs="Times New Roman"/>
          <w:sz w:val="24"/>
          <w:szCs w:val="24"/>
        </w:rPr>
        <w:t>Bank became insolvent and was taken over by NDIC for winding up. NDIC applied to be joined as a defendant and was granted leave. It subsequently brought a preliminary objection seeking:</w:t>
      </w:r>
    </w:p>
    <w:p w:rsidR="00EB1309" w:rsidRPr="006A1136" w:rsidRDefault="00EB1309" w:rsidP="0036468F">
      <w:pPr>
        <w:spacing w:after="0" w:line="240" w:lineRule="auto"/>
        <w:jc w:val="both"/>
        <w:rPr>
          <w:rFonts w:ascii="Times New Roman" w:hAnsi="Times New Roman" w:cs="Times New Roman"/>
          <w:sz w:val="24"/>
          <w:szCs w:val="24"/>
        </w:rPr>
      </w:pPr>
    </w:p>
    <w:p w:rsidR="00B77D2F" w:rsidRPr="006A1136" w:rsidRDefault="00F123E1" w:rsidP="0036468F">
      <w:pPr>
        <w:pStyle w:val="ListParagraph"/>
        <w:numPr>
          <w:ilvl w:val="0"/>
          <w:numId w:val="9"/>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Dismissal of the suit on the ground that it was statute-barred;</w:t>
      </w:r>
    </w:p>
    <w:p w:rsidR="00EB1309" w:rsidRPr="006A1136" w:rsidRDefault="00F123E1" w:rsidP="0036468F">
      <w:pPr>
        <w:pStyle w:val="ListParagraph"/>
        <w:numPr>
          <w:ilvl w:val="0"/>
          <w:numId w:val="9"/>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Dism</w:t>
      </w:r>
      <w:r w:rsidRPr="006A1136">
        <w:rPr>
          <w:rFonts w:ascii="Times New Roman" w:hAnsi="Times New Roman" w:cs="Times New Roman"/>
          <w:sz w:val="24"/>
          <w:szCs w:val="24"/>
        </w:rPr>
        <w:t>issal of the suit on the ground that only the Federal High Court had jurisdiction due to the bank’s winding-up status.</w:t>
      </w:r>
    </w:p>
    <w:p w:rsidR="00EB1309" w:rsidRPr="006A1136" w:rsidRDefault="00EB1309" w:rsidP="0036468F">
      <w:pPr>
        <w:spacing w:after="0" w:line="240" w:lineRule="auto"/>
        <w:jc w:val="both"/>
        <w:rPr>
          <w:rFonts w:ascii="Times New Roman" w:hAnsi="Times New Roman" w:cs="Times New Roman"/>
          <w:sz w:val="24"/>
          <w:szCs w:val="24"/>
        </w:rPr>
      </w:pPr>
    </w:p>
    <w:p w:rsidR="00EB1309" w:rsidRPr="006A1136" w:rsidRDefault="00F123E1" w:rsidP="0036468F">
      <w:p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The trial court dismissed NDIC’s objection and delivered judgment in favour of the Claimant on June 10, 2019.</w:t>
      </w:r>
    </w:p>
    <w:p w:rsidR="00EB1309" w:rsidRPr="006A1136" w:rsidRDefault="00EB1309" w:rsidP="0036468F">
      <w:pPr>
        <w:spacing w:after="0" w:line="240" w:lineRule="auto"/>
        <w:jc w:val="both"/>
        <w:rPr>
          <w:rFonts w:ascii="Times New Roman" w:hAnsi="Times New Roman" w:cs="Times New Roman"/>
          <w:sz w:val="24"/>
          <w:szCs w:val="24"/>
        </w:rPr>
      </w:pPr>
    </w:p>
    <w:p w:rsidR="00EB1309" w:rsidRPr="006A1136" w:rsidRDefault="00F123E1" w:rsidP="0036468F">
      <w:p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 xml:space="preserve">Answer the following </w:t>
      </w:r>
      <w:r w:rsidRPr="006A1136">
        <w:rPr>
          <w:rFonts w:ascii="Times New Roman" w:hAnsi="Times New Roman" w:cs="Times New Roman"/>
          <w:sz w:val="24"/>
          <w:szCs w:val="24"/>
        </w:rPr>
        <w:t>questions:</w:t>
      </w:r>
    </w:p>
    <w:p w:rsidR="00EB1309" w:rsidRPr="006A1136" w:rsidRDefault="00EB1309" w:rsidP="0036468F">
      <w:pPr>
        <w:spacing w:after="0" w:line="240" w:lineRule="auto"/>
        <w:jc w:val="both"/>
        <w:rPr>
          <w:rFonts w:ascii="Times New Roman" w:hAnsi="Times New Roman" w:cs="Times New Roman"/>
          <w:sz w:val="24"/>
          <w:szCs w:val="24"/>
        </w:rPr>
      </w:pPr>
    </w:p>
    <w:p w:rsidR="00B77D2F" w:rsidRPr="006A1136" w:rsidRDefault="00F123E1" w:rsidP="0036468F">
      <w:pPr>
        <w:pStyle w:val="ListParagraph"/>
        <w:numPr>
          <w:ilvl w:val="0"/>
          <w:numId w:val="10"/>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Which court has jurisdiction over the matter?</w:t>
      </w:r>
    </w:p>
    <w:p w:rsidR="00B77D2F" w:rsidRPr="006A1136" w:rsidRDefault="00F123E1" w:rsidP="0036468F">
      <w:pPr>
        <w:pStyle w:val="ListParagraph"/>
        <w:numPr>
          <w:ilvl w:val="0"/>
          <w:numId w:val="10"/>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List the laws regulating the court identified in (a) above.</w:t>
      </w:r>
    </w:p>
    <w:p w:rsidR="00B77D2F" w:rsidRPr="006A1136" w:rsidRDefault="00F123E1" w:rsidP="0036468F">
      <w:pPr>
        <w:pStyle w:val="ListParagraph"/>
        <w:numPr>
          <w:ilvl w:val="0"/>
          <w:numId w:val="10"/>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lastRenderedPageBreak/>
        <w:t>Would your answer change if the contract was executed in Abuja?</w:t>
      </w:r>
    </w:p>
    <w:p w:rsidR="00B77D2F" w:rsidRPr="006A1136" w:rsidRDefault="00F123E1" w:rsidP="0036468F">
      <w:pPr>
        <w:pStyle w:val="ListParagraph"/>
        <w:numPr>
          <w:ilvl w:val="0"/>
          <w:numId w:val="10"/>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Can the court in (a) transfer the case to another court of</w:t>
      </w:r>
      <w:r w:rsidRPr="006A1136">
        <w:rPr>
          <w:rFonts w:ascii="Times New Roman" w:hAnsi="Times New Roman" w:cs="Times New Roman"/>
          <w:sz w:val="24"/>
          <w:szCs w:val="24"/>
        </w:rPr>
        <w:t xml:space="preserve"> coordinate jurisdiction if it lacks jurisdiction?</w:t>
      </w:r>
    </w:p>
    <w:p w:rsidR="00B77D2F" w:rsidRPr="006A1136" w:rsidRDefault="00F123E1" w:rsidP="0036468F">
      <w:pPr>
        <w:pStyle w:val="ListParagraph"/>
        <w:numPr>
          <w:ilvl w:val="0"/>
          <w:numId w:val="10"/>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What is the composition of the court identified in (a)?</w:t>
      </w:r>
    </w:p>
    <w:p w:rsidR="00EB1309" w:rsidRPr="006A1136" w:rsidRDefault="00F123E1" w:rsidP="0036468F">
      <w:pPr>
        <w:pStyle w:val="ListParagraph"/>
        <w:numPr>
          <w:ilvl w:val="0"/>
          <w:numId w:val="10"/>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What is the procedure for appointing and removing judges of that court?</w:t>
      </w:r>
    </w:p>
    <w:p w:rsidR="00EB1309" w:rsidRPr="006A1136" w:rsidRDefault="00EB1309" w:rsidP="0036468F">
      <w:pPr>
        <w:spacing w:after="0" w:line="240" w:lineRule="auto"/>
        <w:jc w:val="both"/>
        <w:rPr>
          <w:rFonts w:ascii="Times New Roman" w:hAnsi="Times New Roman" w:cs="Times New Roman"/>
          <w:sz w:val="24"/>
          <w:szCs w:val="24"/>
        </w:rPr>
      </w:pPr>
    </w:p>
    <w:p w:rsidR="00EB1309" w:rsidRPr="006A1136" w:rsidRDefault="00F123E1" w:rsidP="0036468F">
      <w:p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Further Instructions:</w:t>
      </w:r>
    </w:p>
    <w:p w:rsidR="00EB1309" w:rsidRPr="006A1136" w:rsidRDefault="00EB1309" w:rsidP="0036468F">
      <w:pPr>
        <w:spacing w:after="0" w:line="240" w:lineRule="auto"/>
        <w:jc w:val="both"/>
        <w:rPr>
          <w:rFonts w:ascii="Times New Roman" w:hAnsi="Times New Roman" w:cs="Times New Roman"/>
          <w:sz w:val="24"/>
          <w:szCs w:val="24"/>
        </w:rPr>
      </w:pPr>
    </w:p>
    <w:p w:rsidR="00B77D2F" w:rsidRPr="006A1136" w:rsidRDefault="00F123E1" w:rsidP="0036468F">
      <w:pPr>
        <w:pStyle w:val="ListParagraph"/>
        <w:numPr>
          <w:ilvl w:val="0"/>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Activities Before Class:</w:t>
      </w:r>
    </w:p>
    <w:p w:rsidR="00B77D2F" w:rsidRPr="006A1136" w:rsidRDefault="00F123E1" w:rsidP="0036468F">
      <w:pPr>
        <w:pStyle w:val="ListParagraph"/>
        <w:numPr>
          <w:ilvl w:val="1"/>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Students must</w:t>
      </w:r>
      <w:r w:rsidRPr="006A1136">
        <w:rPr>
          <w:rFonts w:ascii="Times New Roman" w:hAnsi="Times New Roman" w:cs="Times New Roman"/>
          <w:sz w:val="24"/>
          <w:szCs w:val="24"/>
        </w:rPr>
        <w:t xml:space="preserve"> read the relevant topics in advance, including constitutional provisions on jurisdiction and Case Studies 1 &amp; 2 (Chapter 18 of the Handbook or any other assigned case studies).</w:t>
      </w:r>
    </w:p>
    <w:p w:rsidR="00B77D2F" w:rsidRPr="006A1136" w:rsidRDefault="00F123E1" w:rsidP="0036468F">
      <w:pPr>
        <w:pStyle w:val="ListParagraph"/>
        <w:numPr>
          <w:ilvl w:val="1"/>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Read case law on jurisdiction, including distinctions between the State and F</w:t>
      </w:r>
      <w:r w:rsidRPr="006A1136">
        <w:rPr>
          <w:rFonts w:ascii="Times New Roman" w:hAnsi="Times New Roman" w:cs="Times New Roman"/>
          <w:sz w:val="24"/>
          <w:szCs w:val="24"/>
        </w:rPr>
        <w:t>ederal High Courts and the jurisdiction of the ECOWAS Court. Key cases include:</w:t>
      </w:r>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NEPA v. Edegbenro [2002] 18 NWLR (Pt. 798) 79</w:t>
      </w:r>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proofErr w:type="spellStart"/>
      <w:r w:rsidRPr="006A1136">
        <w:rPr>
          <w:rFonts w:ascii="Times New Roman" w:hAnsi="Times New Roman" w:cs="Times New Roman"/>
          <w:sz w:val="24"/>
          <w:szCs w:val="24"/>
        </w:rPr>
        <w:t>Onuoha</w:t>
      </w:r>
      <w:proofErr w:type="spellEnd"/>
      <w:r w:rsidRPr="006A1136">
        <w:rPr>
          <w:rFonts w:ascii="Times New Roman" w:hAnsi="Times New Roman" w:cs="Times New Roman"/>
          <w:sz w:val="24"/>
          <w:szCs w:val="24"/>
        </w:rPr>
        <w:t xml:space="preserve"> v. KRPC Ltd [2005] 6 NWLR (Pt. 921) 393</w:t>
      </w:r>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BPE v. National Union of Electricity Employees (2019)</w:t>
      </w:r>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proofErr w:type="spellStart"/>
      <w:r w:rsidRPr="006A1136">
        <w:rPr>
          <w:rFonts w:ascii="Times New Roman" w:hAnsi="Times New Roman" w:cs="Times New Roman"/>
          <w:sz w:val="24"/>
          <w:szCs w:val="24"/>
        </w:rPr>
        <w:t>Osakwe</w:t>
      </w:r>
      <w:proofErr w:type="spellEnd"/>
      <w:r w:rsidRPr="006A1136">
        <w:rPr>
          <w:rFonts w:ascii="Times New Roman" w:hAnsi="Times New Roman" w:cs="Times New Roman"/>
          <w:sz w:val="24"/>
          <w:szCs w:val="24"/>
        </w:rPr>
        <w:t xml:space="preserve"> v. FCE </w:t>
      </w:r>
      <w:proofErr w:type="spellStart"/>
      <w:r w:rsidRPr="006A1136">
        <w:rPr>
          <w:rFonts w:ascii="Times New Roman" w:hAnsi="Times New Roman" w:cs="Times New Roman"/>
          <w:sz w:val="24"/>
          <w:szCs w:val="24"/>
        </w:rPr>
        <w:t>Asaba</w:t>
      </w:r>
      <w:proofErr w:type="spellEnd"/>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Grace Jack v. University of Agriculture Makurdi [2004] NWLR (Pt. 865) 208</w:t>
      </w:r>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proofErr w:type="spellStart"/>
      <w:r w:rsidRPr="006A1136">
        <w:rPr>
          <w:rFonts w:ascii="Times New Roman" w:hAnsi="Times New Roman" w:cs="Times New Roman"/>
          <w:sz w:val="24"/>
          <w:szCs w:val="24"/>
        </w:rPr>
        <w:t>Tukur</w:t>
      </w:r>
      <w:proofErr w:type="spellEnd"/>
      <w:r w:rsidRPr="006A1136">
        <w:rPr>
          <w:rFonts w:ascii="Times New Roman" w:hAnsi="Times New Roman" w:cs="Times New Roman"/>
          <w:sz w:val="24"/>
          <w:szCs w:val="24"/>
        </w:rPr>
        <w:t xml:space="preserve"> v. Government of Gongola State [1989] 4 NWLR (Pt. 117) 517</w:t>
      </w:r>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NDIC v. Okem Enterprises Ltd [2004] 10 NWLR (Pt. 880) 107</w:t>
      </w:r>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F.U.T. Minna v. Olutayo (2018) All FWLR (Pt. 935) 1255</w:t>
      </w:r>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EFCC v. Wolfgang Reinl (2020) LPELR-49387(SC)</w:t>
      </w:r>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proofErr w:type="spellStart"/>
      <w:r w:rsidRPr="006A1136">
        <w:rPr>
          <w:rFonts w:ascii="Times New Roman" w:hAnsi="Times New Roman" w:cs="Times New Roman"/>
          <w:sz w:val="24"/>
          <w:szCs w:val="24"/>
        </w:rPr>
        <w:t>Adetona</w:t>
      </w:r>
      <w:proofErr w:type="spellEnd"/>
      <w:r w:rsidRPr="006A1136">
        <w:rPr>
          <w:rFonts w:ascii="Times New Roman" w:hAnsi="Times New Roman" w:cs="Times New Roman"/>
          <w:sz w:val="24"/>
          <w:szCs w:val="24"/>
        </w:rPr>
        <w:t xml:space="preserve"> v. Igele General Enterprise Ltd (2011) 7 NWLR (Pt. 1247) 535</w:t>
      </w:r>
    </w:p>
    <w:p w:rsidR="00EB1309"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proofErr w:type="spellStart"/>
      <w:r w:rsidRPr="006A1136">
        <w:rPr>
          <w:rFonts w:ascii="Times New Roman" w:hAnsi="Times New Roman" w:cs="Times New Roman"/>
          <w:sz w:val="24"/>
          <w:szCs w:val="24"/>
        </w:rPr>
        <w:t>Wema</w:t>
      </w:r>
      <w:proofErr w:type="spellEnd"/>
      <w:r w:rsidRPr="006A1136">
        <w:rPr>
          <w:rFonts w:ascii="Times New Roman" w:hAnsi="Times New Roman" w:cs="Times New Roman"/>
          <w:sz w:val="24"/>
          <w:szCs w:val="24"/>
        </w:rPr>
        <w:t xml:space="preserve"> Securities &amp; Finance Plc v. NAIC (2015) 16 NWLR (Pt. 1484) 93</w:t>
      </w:r>
    </w:p>
    <w:p w:rsidR="00EB1309" w:rsidRPr="006A1136" w:rsidRDefault="00EB1309" w:rsidP="0036468F">
      <w:pPr>
        <w:spacing w:after="0" w:line="240" w:lineRule="auto"/>
        <w:jc w:val="both"/>
        <w:rPr>
          <w:rFonts w:ascii="Times New Roman" w:hAnsi="Times New Roman" w:cs="Times New Roman"/>
          <w:sz w:val="24"/>
          <w:szCs w:val="24"/>
        </w:rPr>
      </w:pPr>
    </w:p>
    <w:p w:rsidR="00B77D2F" w:rsidRPr="006A1136" w:rsidRDefault="00F123E1" w:rsidP="0036468F">
      <w:pPr>
        <w:pStyle w:val="ListParagraph"/>
        <w:numPr>
          <w:ilvl w:val="1"/>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Each student should:</w:t>
      </w:r>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Prepare a list of ethical issues, costs, and san</w:t>
      </w:r>
      <w:r w:rsidRPr="006A1136">
        <w:rPr>
          <w:rFonts w:ascii="Times New Roman" w:hAnsi="Times New Roman" w:cs="Times New Roman"/>
          <w:sz w:val="24"/>
          <w:szCs w:val="24"/>
        </w:rPr>
        <w:t>ctions arising from misuse of court rules and wrong court selection;</w:t>
      </w:r>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Make a list of available dispute resolution mechanisms;</w:t>
      </w:r>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List all civil courts and the scope of their jurisdictions, including Customary and Sharia Courts of Appeal;</w:t>
      </w:r>
    </w:p>
    <w:p w:rsidR="00EB1309"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Create a table corr</w:t>
      </w:r>
      <w:r w:rsidRPr="006A1136">
        <w:rPr>
          <w:rFonts w:ascii="Times New Roman" w:hAnsi="Times New Roman" w:cs="Times New Roman"/>
          <w:sz w:val="24"/>
          <w:szCs w:val="24"/>
        </w:rPr>
        <w:t>elating the courts, relevant rules, and their sources.</w:t>
      </w:r>
    </w:p>
    <w:p w:rsidR="00B77D2F" w:rsidRPr="006A1136" w:rsidRDefault="00F123E1" w:rsidP="00B77D2F">
      <w:pPr>
        <w:pStyle w:val="ListParagraph"/>
        <w:numPr>
          <w:ilvl w:val="1"/>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Note:</w:t>
      </w:r>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 xml:space="preserve">All students must </w:t>
      </w:r>
      <w:r w:rsidR="009E03C2">
        <w:rPr>
          <w:rFonts w:ascii="Times New Roman" w:hAnsi="Times New Roman" w:cs="Times New Roman"/>
          <w:sz w:val="24"/>
          <w:szCs w:val="24"/>
        </w:rPr>
        <w:t xml:space="preserve">individually </w:t>
      </w:r>
      <w:bookmarkStart w:id="0" w:name="_GoBack"/>
      <w:bookmarkEnd w:id="0"/>
      <w:r w:rsidRPr="006A1136">
        <w:rPr>
          <w:rFonts w:ascii="Times New Roman" w:hAnsi="Times New Roman" w:cs="Times New Roman"/>
          <w:sz w:val="24"/>
          <w:szCs w:val="24"/>
        </w:rPr>
        <w:t>come to class with a hard c</w:t>
      </w:r>
      <w:r w:rsidR="00B77D2F" w:rsidRPr="006A1136">
        <w:rPr>
          <w:rFonts w:ascii="Times New Roman" w:hAnsi="Times New Roman" w:cs="Times New Roman"/>
          <w:sz w:val="24"/>
          <w:szCs w:val="24"/>
        </w:rPr>
        <w:t>opy of the completed class task,</w:t>
      </w:r>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Class presentations will be held; presen</w:t>
      </w:r>
      <w:r w:rsidR="00B77D2F" w:rsidRPr="006A1136">
        <w:rPr>
          <w:rFonts w:ascii="Times New Roman" w:hAnsi="Times New Roman" w:cs="Times New Roman"/>
          <w:sz w:val="24"/>
          <w:szCs w:val="24"/>
        </w:rPr>
        <w:t>ters will be selected at random,</w:t>
      </w:r>
    </w:p>
    <w:p w:rsidR="00B77D2F"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 xml:space="preserve">Prior study of the </w:t>
      </w:r>
      <w:r w:rsidR="00B77D2F" w:rsidRPr="006A1136">
        <w:rPr>
          <w:rFonts w:ascii="Times New Roman" w:hAnsi="Times New Roman" w:cs="Times New Roman"/>
          <w:sz w:val="24"/>
          <w:szCs w:val="24"/>
        </w:rPr>
        <w:t>topic is mandatory, and</w:t>
      </w:r>
    </w:p>
    <w:p w:rsidR="00EB1309" w:rsidRPr="006A1136" w:rsidRDefault="00F123E1" w:rsidP="0036468F">
      <w:pPr>
        <w:pStyle w:val="ListParagraph"/>
        <w:numPr>
          <w:ilvl w:val="2"/>
          <w:numId w:val="11"/>
        </w:num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Attendance is compulsory; lateness will attract sanctions.</w:t>
      </w:r>
    </w:p>
    <w:p w:rsidR="00EB1309" w:rsidRPr="006A1136" w:rsidRDefault="00E82313" w:rsidP="0036468F">
      <w:p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Best wishes</w:t>
      </w:r>
    </w:p>
    <w:p w:rsidR="00E82313" w:rsidRPr="006A1136" w:rsidRDefault="00E82313" w:rsidP="0036468F">
      <w:p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From:</w:t>
      </w:r>
    </w:p>
    <w:p w:rsidR="00E82313" w:rsidRPr="006A1136" w:rsidRDefault="00E82313" w:rsidP="0036468F">
      <w:p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Civil Litigation Department</w:t>
      </w:r>
    </w:p>
    <w:p w:rsidR="00E82313" w:rsidRPr="006A1136" w:rsidRDefault="00E82313" w:rsidP="0036468F">
      <w:pPr>
        <w:spacing w:after="0" w:line="240" w:lineRule="auto"/>
        <w:jc w:val="both"/>
        <w:rPr>
          <w:rFonts w:ascii="Times New Roman" w:hAnsi="Times New Roman" w:cs="Times New Roman"/>
          <w:sz w:val="24"/>
          <w:szCs w:val="24"/>
        </w:rPr>
      </w:pPr>
      <w:r w:rsidRPr="006A1136">
        <w:rPr>
          <w:rFonts w:ascii="Times New Roman" w:hAnsi="Times New Roman" w:cs="Times New Roman"/>
          <w:sz w:val="24"/>
          <w:szCs w:val="24"/>
        </w:rPr>
        <w:t>Nigerian Law School,</w:t>
      </w:r>
    </w:p>
    <w:p w:rsidR="00E82313" w:rsidRPr="006A1136" w:rsidRDefault="00E82313" w:rsidP="0036468F">
      <w:pPr>
        <w:spacing w:after="0" w:line="240" w:lineRule="auto"/>
        <w:jc w:val="both"/>
        <w:rPr>
          <w:rFonts w:ascii="Times New Roman" w:hAnsi="Times New Roman" w:cs="Times New Roman"/>
          <w:sz w:val="24"/>
          <w:szCs w:val="24"/>
        </w:rPr>
      </w:pPr>
      <w:proofErr w:type="spellStart"/>
      <w:r w:rsidRPr="006A1136">
        <w:rPr>
          <w:rFonts w:ascii="Times New Roman" w:hAnsi="Times New Roman" w:cs="Times New Roman"/>
          <w:sz w:val="24"/>
          <w:szCs w:val="24"/>
        </w:rPr>
        <w:t>Yenagoa</w:t>
      </w:r>
      <w:proofErr w:type="spellEnd"/>
      <w:r w:rsidRPr="006A1136">
        <w:rPr>
          <w:rFonts w:ascii="Times New Roman" w:hAnsi="Times New Roman" w:cs="Times New Roman"/>
          <w:sz w:val="24"/>
          <w:szCs w:val="24"/>
        </w:rPr>
        <w:t xml:space="preserve"> Campus</w:t>
      </w:r>
    </w:p>
    <w:sectPr w:rsidR="00E82313" w:rsidRPr="006A11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tmpl w:val="FFFFFFFF"/>
    <w:lvl w:ilvl="0" w:tplc="A1E2CBA2">
      <w:start w:val="1"/>
      <w:numFmt w:val="decimal"/>
      <w:lvlText w:val="%1."/>
      <w:lvlJc w:val="left"/>
      <w:pPr>
        <w:ind w:left="839" w:hanging="260"/>
      </w:pPr>
      <w:rPr>
        <w:w w:val="99"/>
        <w:lang w:val="en-US" w:eastAsia="en-US" w:bidi="ar-SA"/>
      </w:rPr>
    </w:lvl>
    <w:lvl w:ilvl="1" w:tplc="874E30A2">
      <w:start w:val="1"/>
      <w:numFmt w:val="lowerLetter"/>
      <w:lvlText w:val="%2)"/>
      <w:lvlJc w:val="left"/>
      <w:pPr>
        <w:ind w:left="1300" w:hanging="360"/>
      </w:pPr>
      <w:rPr>
        <w:w w:val="99"/>
        <w:lang w:val="en-US" w:eastAsia="en-US" w:bidi="ar-SA"/>
      </w:rPr>
    </w:lvl>
    <w:lvl w:ilvl="2" w:tplc="23EA0B90">
      <w:start w:val="1"/>
      <w:numFmt w:val="bullet"/>
      <w:lvlText w:val="•"/>
      <w:lvlJc w:val="left"/>
      <w:pPr>
        <w:ind w:left="1977" w:hanging="360"/>
      </w:pPr>
      <w:rPr>
        <w:lang w:val="en-US" w:eastAsia="en-US" w:bidi="ar-SA"/>
      </w:rPr>
    </w:lvl>
    <w:lvl w:ilvl="3" w:tplc="EAA20B14">
      <w:start w:val="1"/>
      <w:numFmt w:val="bullet"/>
      <w:lvlText w:val="•"/>
      <w:lvlJc w:val="left"/>
      <w:pPr>
        <w:ind w:left="2654" w:hanging="360"/>
      </w:pPr>
      <w:rPr>
        <w:lang w:val="en-US" w:eastAsia="en-US" w:bidi="ar-SA"/>
      </w:rPr>
    </w:lvl>
    <w:lvl w:ilvl="4" w:tplc="7018B3EC">
      <w:start w:val="1"/>
      <w:numFmt w:val="bullet"/>
      <w:lvlText w:val="•"/>
      <w:lvlJc w:val="left"/>
      <w:pPr>
        <w:ind w:left="3331" w:hanging="360"/>
      </w:pPr>
      <w:rPr>
        <w:lang w:val="en-US" w:eastAsia="en-US" w:bidi="ar-SA"/>
      </w:rPr>
    </w:lvl>
    <w:lvl w:ilvl="5" w:tplc="F5AA2BF2">
      <w:start w:val="1"/>
      <w:numFmt w:val="bullet"/>
      <w:lvlText w:val="•"/>
      <w:lvlJc w:val="left"/>
      <w:pPr>
        <w:ind w:left="4008" w:hanging="360"/>
      </w:pPr>
      <w:rPr>
        <w:lang w:val="en-US" w:eastAsia="en-US" w:bidi="ar-SA"/>
      </w:rPr>
    </w:lvl>
    <w:lvl w:ilvl="6" w:tplc="263E7F44">
      <w:start w:val="1"/>
      <w:numFmt w:val="bullet"/>
      <w:lvlText w:val="•"/>
      <w:lvlJc w:val="left"/>
      <w:pPr>
        <w:ind w:left="4686" w:hanging="360"/>
      </w:pPr>
      <w:rPr>
        <w:lang w:val="en-US" w:eastAsia="en-US" w:bidi="ar-SA"/>
      </w:rPr>
    </w:lvl>
    <w:lvl w:ilvl="7" w:tplc="CF80EDC2">
      <w:start w:val="1"/>
      <w:numFmt w:val="bullet"/>
      <w:lvlText w:val="•"/>
      <w:lvlJc w:val="left"/>
      <w:pPr>
        <w:ind w:left="5363" w:hanging="360"/>
      </w:pPr>
      <w:rPr>
        <w:lang w:val="en-US" w:eastAsia="en-US" w:bidi="ar-SA"/>
      </w:rPr>
    </w:lvl>
    <w:lvl w:ilvl="8" w:tplc="C6E0FD06">
      <w:start w:val="1"/>
      <w:numFmt w:val="bullet"/>
      <w:lvlText w:val="•"/>
      <w:lvlJc w:val="left"/>
      <w:pPr>
        <w:ind w:left="6040" w:hanging="360"/>
      </w:pPr>
      <w:rPr>
        <w:lang w:val="en-US" w:eastAsia="en-US" w:bidi="ar-SA"/>
      </w:rPr>
    </w:lvl>
  </w:abstractNum>
  <w:abstractNum w:abstractNumId="1">
    <w:nsid w:val="00000001"/>
    <w:multiLevelType w:val="hybridMultilevel"/>
    <w:tmpl w:val="7CD217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0000002"/>
    <w:multiLevelType w:val="hybridMultilevel"/>
    <w:tmpl w:val="FFFFFFFF"/>
    <w:lvl w:ilvl="0" w:tplc="73F88FEC">
      <w:start w:val="1"/>
      <w:numFmt w:val="lowerRoman"/>
      <w:lvlText w:val="(%1)"/>
      <w:lvlJc w:val="left"/>
      <w:pPr>
        <w:ind w:left="1660" w:hanging="720"/>
      </w:pPr>
      <w:rPr>
        <w:rFonts w:ascii="Times New Roman" w:eastAsia="Times New Roman" w:hAnsi="Times New Roman" w:cs="Times New Roman" w:hint="default"/>
        <w:w w:val="99"/>
        <w:sz w:val="26"/>
        <w:szCs w:val="26"/>
        <w:lang w:val="en-US" w:eastAsia="en-US" w:bidi="ar-SA"/>
      </w:rPr>
    </w:lvl>
    <w:lvl w:ilvl="1" w:tplc="BFA49F30">
      <w:start w:val="1"/>
      <w:numFmt w:val="bullet"/>
      <w:lvlText w:val="•"/>
      <w:lvlJc w:val="left"/>
      <w:pPr>
        <w:ind w:left="2233" w:hanging="720"/>
      </w:pPr>
      <w:rPr>
        <w:lang w:val="en-US" w:eastAsia="en-US" w:bidi="ar-SA"/>
      </w:rPr>
    </w:lvl>
    <w:lvl w:ilvl="2" w:tplc="A35C783C">
      <w:start w:val="1"/>
      <w:numFmt w:val="bullet"/>
      <w:lvlText w:val="•"/>
      <w:lvlJc w:val="left"/>
      <w:pPr>
        <w:ind w:left="2807" w:hanging="720"/>
      </w:pPr>
      <w:rPr>
        <w:lang w:val="en-US" w:eastAsia="en-US" w:bidi="ar-SA"/>
      </w:rPr>
    </w:lvl>
    <w:lvl w:ilvl="3" w:tplc="FB3AA24A">
      <w:start w:val="1"/>
      <w:numFmt w:val="bullet"/>
      <w:lvlText w:val="•"/>
      <w:lvlJc w:val="left"/>
      <w:pPr>
        <w:ind w:left="3380" w:hanging="720"/>
      </w:pPr>
      <w:rPr>
        <w:lang w:val="en-US" w:eastAsia="en-US" w:bidi="ar-SA"/>
      </w:rPr>
    </w:lvl>
    <w:lvl w:ilvl="4" w:tplc="7DC21610">
      <w:start w:val="1"/>
      <w:numFmt w:val="bullet"/>
      <w:lvlText w:val="•"/>
      <w:lvlJc w:val="left"/>
      <w:pPr>
        <w:ind w:left="3954" w:hanging="720"/>
      </w:pPr>
      <w:rPr>
        <w:lang w:val="en-US" w:eastAsia="en-US" w:bidi="ar-SA"/>
      </w:rPr>
    </w:lvl>
    <w:lvl w:ilvl="5" w:tplc="AAF89D1E">
      <w:start w:val="1"/>
      <w:numFmt w:val="bullet"/>
      <w:lvlText w:val="•"/>
      <w:lvlJc w:val="left"/>
      <w:pPr>
        <w:ind w:left="4527" w:hanging="720"/>
      </w:pPr>
      <w:rPr>
        <w:lang w:val="en-US" w:eastAsia="en-US" w:bidi="ar-SA"/>
      </w:rPr>
    </w:lvl>
    <w:lvl w:ilvl="6" w:tplc="1DE2C522">
      <w:start w:val="1"/>
      <w:numFmt w:val="bullet"/>
      <w:lvlText w:val="•"/>
      <w:lvlJc w:val="left"/>
      <w:pPr>
        <w:ind w:left="5101" w:hanging="720"/>
      </w:pPr>
      <w:rPr>
        <w:lang w:val="en-US" w:eastAsia="en-US" w:bidi="ar-SA"/>
      </w:rPr>
    </w:lvl>
    <w:lvl w:ilvl="7" w:tplc="58344298">
      <w:start w:val="1"/>
      <w:numFmt w:val="bullet"/>
      <w:lvlText w:val="•"/>
      <w:lvlJc w:val="left"/>
      <w:pPr>
        <w:ind w:left="5674" w:hanging="720"/>
      </w:pPr>
      <w:rPr>
        <w:lang w:val="en-US" w:eastAsia="en-US" w:bidi="ar-SA"/>
      </w:rPr>
    </w:lvl>
    <w:lvl w:ilvl="8" w:tplc="2ED2BBA4">
      <w:start w:val="1"/>
      <w:numFmt w:val="bullet"/>
      <w:lvlText w:val="•"/>
      <w:lvlJc w:val="left"/>
      <w:pPr>
        <w:ind w:left="6248" w:hanging="720"/>
      </w:pPr>
      <w:rPr>
        <w:lang w:val="en-US" w:eastAsia="en-US" w:bidi="ar-SA"/>
      </w:rPr>
    </w:lvl>
  </w:abstractNum>
  <w:abstractNum w:abstractNumId="3">
    <w:nsid w:val="00000003"/>
    <w:multiLevelType w:val="hybridMultilevel"/>
    <w:tmpl w:val="13447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4EAA37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AC2BCE"/>
    <w:multiLevelType w:val="hybridMultilevel"/>
    <w:tmpl w:val="54DCD46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C43722B"/>
    <w:multiLevelType w:val="hybridMultilevel"/>
    <w:tmpl w:val="3EDCF37E"/>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ECC53D7"/>
    <w:multiLevelType w:val="hybridMultilevel"/>
    <w:tmpl w:val="2EC4848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0436C7F"/>
    <w:multiLevelType w:val="hybridMultilevel"/>
    <w:tmpl w:val="3B5A7CB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50D409A4"/>
    <w:multiLevelType w:val="hybridMultilevel"/>
    <w:tmpl w:val="2CC8743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79D06EC4"/>
    <w:multiLevelType w:val="hybridMultilevel"/>
    <w:tmpl w:val="2CF8A7B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2">
    <w:abstractNumId w:val="2"/>
    <w:lvlOverride w:ilvl="0">
      <w:startOverride w:val="1"/>
    </w:lvlOverride>
    <w:lvlOverride w:ilvl="1"/>
    <w:lvlOverride w:ilvl="2"/>
    <w:lvlOverride w:ilvl="3"/>
    <w:lvlOverride w:ilvl="4"/>
    <w:lvlOverride w:ilvl="5"/>
    <w:lvlOverride w:ilvl="6"/>
    <w:lvlOverride w:ilvl="7"/>
    <w:lvlOverride w:ilvl="8"/>
  </w:num>
  <w:num w:numId="3">
    <w:abstractNumId w:val="3"/>
  </w:num>
  <w:num w:numId="4">
    <w:abstractNumId w:val="1"/>
  </w:num>
  <w:num w:numId="5">
    <w:abstractNumId w:val="4"/>
  </w:num>
  <w:num w:numId="6">
    <w:abstractNumId w:val="7"/>
  </w:num>
  <w:num w:numId="7">
    <w:abstractNumId w:val="5"/>
  </w:num>
  <w:num w:numId="8">
    <w:abstractNumId w:val="10"/>
  </w:num>
  <w:num w:numId="9">
    <w:abstractNumId w:val="9"/>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309"/>
    <w:rsid w:val="0036468F"/>
    <w:rsid w:val="006A1136"/>
    <w:rsid w:val="009E03C2"/>
    <w:rsid w:val="00B77D2F"/>
    <w:rsid w:val="00C94BD1"/>
    <w:rsid w:val="00E82313"/>
    <w:rsid w:val="00EB1309"/>
    <w:rsid w:val="00F12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CC3BB7-09C8-4FCC-98A8-1A27C3F03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1035</Words>
  <Characters>5901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Sylvia Ihedoro</dc:creator>
  <cp:lastModifiedBy>NCC</cp:lastModifiedBy>
  <cp:revision>2</cp:revision>
  <dcterms:created xsi:type="dcterms:W3CDTF">2025-04-19T20:14:00Z</dcterms:created>
  <dcterms:modified xsi:type="dcterms:W3CDTF">2025-04-19T20:14:00Z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30a61d17f92542118dd9028909404507</vt:lpwstr>
  </property>
</Properties>
</file>