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
        <w:jc w:val="center"/>
        <w:rPr>
          <w:color w:val="36363d"/>
        </w:rPr>
      </w:pPr>
      <w:r>
        <w:rPr>
          <w:color w:val="36363d"/>
        </w:rPr>
        <w:t>NIGERIAN LAW SCHOOL</w:t>
      </w:r>
    </w:p>
    <w:p>
      <w:pPr>
        <w:pStyle w:val="style0"/>
        <w:jc w:val="center"/>
        <w:rPr>
          <w:color w:val="36363d"/>
        </w:rPr>
      </w:pPr>
      <w:r>
        <w:rPr>
          <w:color w:val="36363d"/>
        </w:rPr>
        <w:t>YENAGOA CAMPUS</w:t>
      </w:r>
      <w:r>
        <w:rPr>
          <w:color w:val="36363d"/>
        </w:rPr>
        <w:br/>
      </w:r>
      <w:r>
        <w:rPr>
          <w:color w:val="36363d"/>
        </w:rPr>
        <w:t>CIVIL LITIGATION DEPARTMENT</w:t>
      </w:r>
      <w:r>
        <w:rPr>
          <w:color w:val="36363d"/>
        </w:rPr>
        <w:br/>
      </w:r>
      <w:r>
        <w:rPr>
          <w:color w:val="36363d"/>
        </w:rPr>
        <w:br/>
      </w:r>
      <w:r>
        <w:rPr>
          <w:color w:val="36363d"/>
        </w:rPr>
        <w:t>WEEK 6: THURSDAY, 15 MAY 2025</w:t>
      </w:r>
      <w:r>
        <w:rPr>
          <w:color w:val="36363d"/>
        </w:rPr>
        <w:br/>
      </w:r>
      <w:r>
        <w:rPr>
          <w:color w:val="36363d"/>
        </w:rPr>
        <w:t>COMMENCEMENT OF CIVIL ACTIONS IN THE HIGH COURT</w:t>
      </w:r>
    </w:p>
    <w:p>
      <w:pPr>
        <w:pStyle w:val="style2"/>
        <w:rPr>
          <w:color w:val="36363d"/>
        </w:rPr>
      </w:pPr>
      <w:r>
        <w:rPr>
          <w:color w:val="36363d"/>
        </w:rPr>
        <w:t>Individual Tasks</w:t>
      </w:r>
    </w:p>
    <w:p>
      <w:pPr>
        <w:pStyle w:val="style3"/>
        <w:rPr>
          <w:color w:val="36363d"/>
        </w:rPr>
      </w:pPr>
      <w:r>
        <w:rPr>
          <w:color w:val="36363d"/>
        </w:rPr>
        <w:t>Scenario 1</w:t>
      </w:r>
    </w:p>
    <w:p>
      <w:pPr>
        <w:pStyle w:val="style0"/>
        <w:rPr>
          <w:color w:val="36363d"/>
        </w:rPr>
      </w:pPr>
      <w:r>
        <w:rPr>
          <w:color w:val="36363d"/>
        </w:rPr>
        <w:t>Chief Femi Spaaco and his wife, Mrs. Ebi Spaaco, have for several years carried on the business of sale, supply, and distribution of cement under the business name Spaaco &amp; Spaaco Enterprises, with a business office located at Plot 10, Garrison Lane, Ikoyi, Lagos. Spaaco &amp; Spaaco Enterprises is a major contractor to the Nigerian Communications Commission (NCC), whose headquarters is at 23, Adeogun Street, Garki, Abuja.</w:t>
      </w:r>
      <w:r>
        <w:rPr>
          <w:color w:val="36363d"/>
        </w:rPr>
        <w:br/>
      </w:r>
      <w:r>
        <w:rPr>
          <w:color w:val="36363d"/>
        </w:rPr>
        <w:br/>
      </w:r>
      <w:r>
        <w:rPr>
          <w:color w:val="36363d"/>
        </w:rPr>
        <w:t>On 10 November 2021, Spaaco &amp; Spaaco Enterprises entered into a contract with the Commission to supply 200,000 bags of good-quality cement to the NCC’s Lagos branch office, located at 22, Awolowo Way, Ikeja, Lagos. The agreed contract sum was N50 million, out of which the NCC paid N20 million as a down payment. The agreement further stipulated that the entire 200,000 bags must be supplied to the agreed location within two weeks from the date of the contract, while the balance of N30 million would be paid within 30 days from the date of completion of the supply.</w:t>
      </w:r>
      <w:r>
        <w:rPr>
          <w:color w:val="36363d"/>
        </w:rPr>
        <w:br/>
      </w:r>
      <w:r>
        <w:rPr>
          <w:color w:val="36363d"/>
        </w:rPr>
        <w:br/>
      </w:r>
      <w:r>
        <w:rPr>
          <w:color w:val="36363d"/>
        </w:rPr>
        <w:t>The supply was made in two tranches of 100,000 bags each, with the second tranche delivered on 22 November 2021. However, the NCC has failed to pay the outstanding N30 million despite several demand letters. In response to the final letter, the NCC’s lawyers, BenTen Legal Partners, stated that the cement supplied was of lower quality than agreed and offered to pay only N22 million as full and final settlement.</w:t>
      </w:r>
      <w:r>
        <w:rPr>
          <w:color w:val="36363d"/>
        </w:rPr>
        <w:br/>
      </w:r>
      <w:r>
        <w:rPr>
          <w:color w:val="36363d"/>
        </w:rPr>
        <w:br/>
      </w:r>
      <w:r>
        <w:rPr>
          <w:color w:val="36363d"/>
        </w:rPr>
        <w:t>Spaaco &amp; Spaaco Enterprises and its proprietors are aggrieved, and Chief Femi Spaaco has now instructed your law firm to institute legal action against the NCC to recover the outstanding N30 million with interest.</w:t>
      </w:r>
    </w:p>
    <w:p>
      <w:pPr>
        <w:pStyle w:val="style49"/>
        <w:rPr>
          <w:color w:val="36363d"/>
        </w:rPr>
      </w:pPr>
      <w:r>
        <w:rPr>
          <w:color w:val="36363d"/>
        </w:rPr>
        <w:t>State, with reasons and legal authorities, the court in which you would file the action, the appropriate venue, and the mode of commencement.</w:t>
      </w:r>
    </w:p>
    <w:p>
      <w:pPr>
        <w:pStyle w:val="style49"/>
        <w:rPr>
          <w:color w:val="36363d"/>
        </w:rPr>
      </w:pPr>
      <w:r>
        <w:rPr>
          <w:color w:val="36363d"/>
        </w:rPr>
        <w:t>Draft the heading, suit number, and parties’ clauses for insertion into the main originating process.</w:t>
      </w:r>
    </w:p>
    <w:p>
      <w:pPr>
        <w:pStyle w:val="style49"/>
        <w:rPr>
          <w:color w:val="36363d"/>
        </w:rPr>
      </w:pPr>
      <w:r>
        <w:rPr>
          <w:color w:val="36363d"/>
        </w:rPr>
        <w:t>State the documents required to be filed in court to commence the action, and explain the legal consequences of failing to file them at the time of commencement.</w:t>
      </w:r>
    </w:p>
    <w:p>
      <w:pPr>
        <w:pStyle w:val="style49"/>
        <w:rPr>
          <w:color w:val="36363d"/>
        </w:rPr>
      </w:pPr>
      <w:r>
        <w:rPr>
          <w:color w:val="36363d"/>
        </w:rPr>
        <w:t>What is the lifespan of the originating process in this suit? If you are unable to serve the originating processes before its expiration, what steps can you take to ensure valid service?</w:t>
      </w:r>
    </w:p>
    <w:p>
      <w:pPr>
        <w:pStyle w:val="style49"/>
        <w:rPr>
          <w:color w:val="36363d"/>
        </w:rPr>
      </w:pPr>
      <w:r>
        <w:rPr>
          <w:color w:val="36363d"/>
        </w:rPr>
        <w:t>State the options available to the NCC upon being served with your client’s originating processes.</w:t>
      </w:r>
    </w:p>
    <w:p>
      <w:pPr>
        <w:pStyle w:val="style49"/>
        <w:rPr>
          <w:color w:val="36363d"/>
        </w:rPr>
      </w:pPr>
      <w:r>
        <w:rPr>
          <w:color w:val="36363d"/>
        </w:rPr>
        <w:t>If the NCC chooses to defend the action, list the documents it must file, the time within which to file them, and the legal effect of failure to do so within the prescribed period.</w:t>
      </w:r>
    </w:p>
    <w:p>
      <w:pPr>
        <w:pStyle w:val="style49"/>
        <w:rPr>
          <w:color w:val="36363d"/>
        </w:rPr>
      </w:pPr>
      <w:r>
        <w:rPr>
          <w:color w:val="36363d"/>
        </w:rPr>
        <w:t>Draft the document the NCC is expected to file to enter an appearance in the suit.</w:t>
      </w:r>
    </w:p>
    <w:p>
      <w:pPr>
        <w:pStyle w:val="style49"/>
        <w:rPr>
          <w:color w:val="36363d"/>
        </w:rPr>
      </w:pPr>
      <w:r>
        <w:rPr>
          <w:color w:val="36363d"/>
        </w:rPr>
        <w:t>If the action were to be commenced in Abuja, list the documents required to commence it and state what to do if service is not effected before the expiration of the originating process.</w:t>
      </w:r>
    </w:p>
    <w:p>
      <w:pPr>
        <w:pStyle w:val="style49"/>
        <w:rPr>
          <w:color w:val="36363d"/>
        </w:rPr>
      </w:pPr>
      <w:r>
        <w:rPr>
          <w:color w:val="36363d"/>
        </w:rPr>
        <w:t>If the action is filed in Lagos but the defendant is to be served in Enugu, describe the steps necessary to ensure valid service. Would your answer differ if the suit were commenced in Abuja?</w:t>
      </w:r>
    </w:p>
    <w:p>
      <w:pPr>
        <w:pStyle w:val="style49"/>
        <w:rPr>
          <w:color w:val="36363d"/>
        </w:rPr>
      </w:pPr>
      <w:r>
        <w:rPr>
          <w:color w:val="36363d"/>
        </w:rPr>
        <w:t>Identify the essential contents of a standard Writ of Summons and draft a sample endorsement of claim using the above scenario as your guide.</w:t>
      </w:r>
    </w:p>
    <w:p>
      <w:pPr>
        <w:pStyle w:val="style49"/>
        <w:rPr>
          <w:color w:val="36363d"/>
          <w:lang w:val="en-US"/>
        </w:rPr>
      </w:pPr>
      <w:r>
        <w:rPr>
          <w:color w:val="36363d"/>
        </w:rPr>
        <w:t xml:space="preserve">If the suit </w:t>
      </w:r>
      <w:r>
        <w:rPr>
          <w:color w:val="36363d"/>
          <w:lang w:val="en-US"/>
        </w:rPr>
        <w:t>was</w:t>
      </w:r>
      <w:r>
        <w:rPr>
          <w:color w:val="36363d"/>
        </w:rPr>
        <w:t xml:space="preserve"> commenced in a wrong judicial division but within the same state, what are the legal implications?</w:t>
      </w:r>
    </w:p>
    <w:p>
      <w:pPr>
        <w:pStyle w:val="style49"/>
        <w:numPr>
          <w:ilvl w:val="0"/>
          <w:numId w:val="0"/>
        </w:numPr>
        <w:ind w:left="0" w:firstLine="0"/>
        <w:rPr>
          <w:b/>
          <w:bCs/>
          <w:color w:val="36363d"/>
        </w:rPr>
      </w:pPr>
      <w:r>
        <w:rPr>
          <w:b/>
          <w:bCs/>
          <w:color w:val="36363d"/>
          <w:lang w:val="en-US"/>
        </w:rPr>
        <w:t>Case Studies 2</w:t>
      </w:r>
    </w:p>
    <w:p>
      <w:pPr>
        <w:autoSpaceDE w:val="false"/>
        <w:autoSpaceDN w:val="false"/>
        <w:spacing w:lineRule="auto" w:line="240"/>
        <w:jc w:val="both"/>
        <w:rPr>
          <w:color w:val="36363d"/>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instituted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against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Lagos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State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High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sitting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Ikeja,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seeking: (1). 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declaration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contract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partnership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agreement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between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parties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were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valid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subsisting; (2) 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order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perpetual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injunction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restraining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from</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converting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20</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vehicles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its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exclusive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use;.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(3). 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order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for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division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vehicles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among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parties; (4). 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monetary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claim</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6</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.17</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million,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proceeds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from</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contract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executed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between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March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December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20</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23</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t>
      </w:r>
    </w:p>
    <w:p>
      <w:pPr>
        <w:autoSpaceDE w:val="false"/>
        <w:autoSpaceDN w:val="false"/>
        <w:spacing w:lineRule="auto" w:line="240"/>
        <w:jc w:val="both"/>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contract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was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entered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Ikeja,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while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its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performance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was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intended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for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Ikoyi,</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Lagos,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where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maintains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its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offices.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agreement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included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conciliation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clause,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requiring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parties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submit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disputes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conciliation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before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initiating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litigation.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Despite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hearing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cases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are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handled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more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swiftly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Magistrate’s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summary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jurisdiction),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through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their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solicitors,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Okonkwo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filed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Originating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Summons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Lagos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High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Ikeja.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Upon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served,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entered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conditional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appearance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filed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preliminary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objection,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raising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following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grounds: (1) 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matter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had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not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first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submitted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conciliation,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stipulated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agreement; (2).</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was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commenced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wrong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judicial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division; (3).</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was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commenced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using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wrong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originating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process. 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High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overruled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all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three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grounds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preliminary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objection.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Subsequently,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filed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application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for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interlocutory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injunction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restrain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from</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converting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20</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vehicles.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did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not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file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counter-affidavit.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hearing,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counsel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argued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should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not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heard,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having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not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responded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with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counter-affidavit.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their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Statement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Claim,</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however,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failed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to</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plead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contract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agreement. 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conclusion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of</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trial,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granted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all</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reliefs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sought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by</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p>
    <w:p>
      <w:pPr>
        <w:autoSpaceDE w:val="false"/>
        <w:autoSpaceDN w:val="false"/>
        <w:spacing w:lineRule="auto" w:line="240"/>
        <w:jc w:val="both"/>
        <w:rPr>
          <w:color w:val="36363d"/>
        </w:rPr>
      </w:pP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Answer</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Following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Questions:</w:t>
      </w:r>
    </w:p>
    <w:p>
      <w:pPr>
        <w:pStyle w:val="style49"/>
        <w:numPr>
          <w:ilvl w:val="0"/>
          <w:numId w:val="12"/>
        </w:numPr>
        <w:jc w:val="both"/>
        <w:rPr>
          <w:color w:val="36363d"/>
          <w:lang w:val="en-US"/>
        </w:rPr>
      </w:pPr>
      <w:r>
        <w:rPr>
          <w:color w:val="36363d"/>
          <w:lang w:val="en-US"/>
        </w:rPr>
        <w:t>Assuming the action at the above was commenced by Writ in the High Court, sta</w:t>
      </w:r>
      <w:r>
        <w:rPr>
          <w:color w:val="36363d"/>
        </w:rPr>
        <w:t>te the documents the defendant(s) file</w:t>
      </w:r>
      <w:r>
        <w:rPr>
          <w:color w:val="36363d"/>
          <w:lang w:val="en-US"/>
        </w:rPr>
        <w:t>d</w:t>
      </w:r>
      <w:r>
        <w:rPr>
          <w:color w:val="36363d"/>
        </w:rPr>
        <w:t xml:space="preserve"> to defend the action and the legal consequence of failing to file them.</w:t>
      </w:r>
    </w:p>
    <w:p>
      <w:pPr>
        <w:pStyle w:val="style49"/>
        <w:numPr>
          <w:ilvl w:val="0"/>
          <w:numId w:val="10"/>
        </w:numPr>
        <w:jc w:val="both"/>
        <w:rPr>
          <w:color w:val="36363d"/>
        </w:rPr>
      </w:pPr>
      <w:r>
        <w:rPr>
          <w:color w:val="36363d"/>
          <w:lang w:val="en-US"/>
        </w:rPr>
        <w:t>D</w:t>
      </w:r>
      <w:r>
        <w:rPr>
          <w:color w:val="36363d"/>
        </w:rPr>
        <w:t>escribe general</w:t>
      </w:r>
      <w:r>
        <w:rPr>
          <w:color w:val="36363d"/>
          <w:lang w:val="en-US"/>
        </w:rPr>
        <w:t>ly</w:t>
      </w:r>
      <w:r>
        <w:rPr>
          <w:color w:val="36363d"/>
        </w:rPr>
        <w:t xml:space="preserve"> t</w:t>
      </w:r>
      <w:r>
        <w:rPr>
          <w:color w:val="36363d"/>
          <w:lang w:val="en-US"/>
        </w:rPr>
        <w:t>he various steps involved in</w:t>
      </w:r>
      <w:r>
        <w:rPr>
          <w:color w:val="36363d"/>
        </w:rPr>
        <w:t xml:space="preserve"> </w:t>
      </w:r>
      <w:r>
        <w:rPr>
          <w:color w:val="36363d"/>
          <w:lang w:val="en-US"/>
        </w:rPr>
        <w:t>f</w:t>
      </w:r>
      <w:r>
        <w:rPr>
          <w:color w:val="36363d"/>
        </w:rPr>
        <w:t>iling a fresh action in court.</w:t>
      </w:r>
    </w:p>
    <w:p>
      <w:pPr>
        <w:pStyle w:val="style49"/>
        <w:numPr>
          <w:ilvl w:val="0"/>
          <w:numId w:val="10"/>
        </w:numPr>
        <w:jc w:val="both"/>
        <w:rPr>
          <w:color w:val="36363d"/>
        </w:rPr>
      </w:pPr>
      <w:r>
        <w:rPr>
          <w:color w:val="36363d"/>
          <w:lang w:val="en-US"/>
        </w:rPr>
        <w:t>E</w:t>
      </w:r>
      <w:r>
        <w:rPr>
          <w:color w:val="36363d"/>
        </w:rPr>
        <w:t>xplain the difference between the “composition” and “constitution” of a court. Identify both in respect of the court where the action in 2(</w:t>
      </w:r>
      <w:r>
        <w:rPr>
          <w:color w:val="36363d"/>
          <w:lang w:val="en-US"/>
        </w:rPr>
        <w:t>a</w:t>
      </w:r>
      <w:r>
        <w:rPr>
          <w:color w:val="36363d"/>
        </w:rPr>
        <w:t>) is filed.</w:t>
      </w:r>
    </w:p>
    <w:p>
      <w:pPr>
        <w:pStyle w:val="style49"/>
        <w:numPr>
          <w:ilvl w:val="0"/>
          <w:numId w:val="10"/>
        </w:numPr>
        <w:jc w:val="both"/>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pPr>
      <w:r>
        <w:rPr>
          <w:color w:val="36363d"/>
        </w:rPr>
        <w:t xml:space="preserve">As counsel to </w:t>
      </w:r>
      <w:r>
        <w:rPr>
          <w:color w:val="36363d"/>
          <w:lang w:val="en-US"/>
        </w:rPr>
        <w:t xml:space="preserve">Crown Kitchen, </w:t>
      </w:r>
      <w:r>
        <w:rPr>
          <w:color w:val="36363d"/>
        </w:rPr>
        <w:t>state five duties</w:t>
      </w:r>
      <w:r>
        <w:rPr>
          <w:color w:val="36363d"/>
          <w:lang w:val="en-US"/>
        </w:rPr>
        <w:t xml:space="preserve"> you</w:t>
      </w:r>
      <w:r>
        <w:rPr>
          <w:color w:val="36363d"/>
        </w:rPr>
        <w:t xml:space="preserve"> owe the court and seven duties </w:t>
      </w:r>
      <w:r>
        <w:rPr>
          <w:color w:val="36363d"/>
          <w:lang w:val="en-US"/>
        </w:rPr>
        <w:t xml:space="preserve">you </w:t>
      </w:r>
      <w:r>
        <w:rPr>
          <w:color w:val="36363d"/>
        </w:rPr>
        <w:t>owe</w:t>
      </w:r>
      <w:r>
        <w:rPr>
          <w:color w:val="36363d"/>
          <w:lang w:val="en-US"/>
        </w:rPr>
        <w:t xml:space="preserve"> </w:t>
      </w:r>
      <w:r>
        <w:rPr>
          <w:color w:val="36363d"/>
        </w:rPr>
        <w:t>your client throughout the case.</w:t>
      </w:r>
    </w:p>
    <w:p>
      <w:pPr>
        <w:pStyle w:val="style49"/>
        <w:numPr>
          <w:ilvl w:val="0"/>
          <w:numId w:val="10"/>
        </w:numPr>
        <w:jc w:val="both"/>
        <w:rPr>
          <w:color w:val="36363d"/>
        </w:rPr>
      </w:pP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tate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who</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is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authorized</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to</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serve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originating</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processes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under</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High</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Court</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of</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Lagos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State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(Civil</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Procedure)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Rules,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2019.</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Contrast</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this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with</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position</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under</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the</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Abuja</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Rules</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2025</w:t>
      </w:r>
    </w:p>
    <w:p>
      <w:pPr>
        <w:pStyle w:val="style49"/>
        <w:numPr>
          <w:ilvl w:val="0"/>
          <w:numId w:val="10"/>
        </w:numPr>
        <w:jc w:val="both"/>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pPr>
      <w:r>
        <w:rPr>
          <w:color w:val="36363d"/>
        </w:rPr>
        <w:t>Comment briefly, with statutory or judicial authority, on the legal effect of the originating process in question 2(e) being signed as:</w:t>
      </w:r>
      <w:r>
        <w:rPr>
          <w:color w:val="36363d"/>
        </w:rPr>
        <w:br/>
      </w:r>
      <w:r>
        <w:rPr>
          <w:color w:val="36363d"/>
          <w:lang w:val="en-US"/>
        </w:rPr>
        <w:t xml:space="preserve">(i) </w:t>
      </w:r>
      <w:r>
        <w:rPr>
          <w:color w:val="36363d"/>
        </w:rPr>
        <w:t>Musa Jide Agu &amp; Co, Legal Practitioners</w:t>
      </w:r>
      <w:r>
        <w:rPr>
          <w:color w:val="36363d"/>
        </w:rPr>
        <w:br/>
      </w:r>
      <w:r>
        <w:rPr>
          <w:color w:val="36363d"/>
          <w:lang w:val="en-US"/>
        </w:rPr>
        <w:t xml:space="preserve">(ii). </w:t>
      </w:r>
      <w:r>
        <w:rPr>
          <w:color w:val="36363d"/>
        </w:rPr>
        <w:t>Managing Partner, Musa Jide Agu &amp; Co, Legal Practitioners</w:t>
      </w:r>
      <w:r>
        <w:rPr>
          <w:color w:val="36363d"/>
          <w:lang w:val="en-US"/>
        </w:rPr>
        <w:t xml:space="preserve">. </w:t>
      </w:r>
    </w:p>
    <w:p>
      <w:pPr>
        <w:pStyle w:val="style49"/>
        <w:numPr>
          <w:ilvl w:val="0"/>
          <w:numId w:val="10"/>
        </w:numPr>
        <w:jc w:val="both"/>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pP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Assume the action instituted by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Crown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Kitchen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instituted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against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K</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&amp;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Ltd</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the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Lagos</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State</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High</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Court</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sitting</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in</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Ikeja</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was solely and strictly for interpretation of the terms of the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partnership</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 xml:space="preserve"> </w:t>
      </w:r>
      <w:r>
        <w:rPr>
          <w:rFonts w:ascii="Times New Roman" w:cs="Times New Roman" w:eastAsia="Times New Roman" w:hAnsi="Times New Roman" w:hint="default"/>
          <w:b w:val="false"/>
          <w:bCs w:val="false"/>
          <w:i w:val="false"/>
          <w:iCs w:val="false"/>
          <w:color w:val="auto"/>
          <w:sz w:val="22"/>
          <w:szCs w:val="22"/>
          <w:highlight w:val="none"/>
          <w:vertAlign w:val="baseline"/>
          <w:em w:val="none"/>
          <w:lang w:val="en-US" w:eastAsia="en-US"/>
        </w:rPr>
        <w:t>agreement</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between Crown Kitchen and K &amp; T to determine whether the Agreement was still valid and subsisting, (1). by what mode should the action be commented; (2). Mention the mandatory originating processes to be filed to commence the action; (3). Draft the main originating process without any supporting documents; and (4). By what documents would K &amp; T respond? </w:t>
      </w:r>
    </w:p>
    <w:p>
      <w:pPr>
        <w:pStyle w:val="style49"/>
        <w:numPr>
          <w:ilvl w:val="0"/>
          <w:numId w:val="10"/>
        </w:numPr>
        <w:jc w:val="both"/>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pP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Assume that an ction was to be instituted by Chief Tai Tuus, seeking dissolution of the marriage between himself and his wife of 25 years, Mrs. Adai Tuus, on the ground that the marriage has broken down irretrievably. The couple resides at No. 16–16 Road, Bwari, Abuja (FCT), (i) By what mode would the action for dissolution of marriage be commenced? (ii) Before which Court would the action be commenced, given the stated residential address?</w:t>
      </w:r>
    </w:p>
    <w:p>
      <w:pPr>
        <w:pStyle w:val="style49"/>
        <w:numPr>
          <w:ilvl w:val="0"/>
          <w:numId w:val="10"/>
        </w:numPr>
        <w:jc w:val="both"/>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pP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Assume further that an action was commenced in the Magistrates’ Court by Dr. Dogood Ben against the Commissioner of Police, Bayelsa State Command, seeking enforcement of fundamental human rights, alleging brutalization and illegal detention for 15 days without trial. The Magistrates’ Court heard the case and granted all the reliefs sought by Dr. Ben. Now aggrieved, the Police seek to file a fresh action at the High Court of Bayelsa State to set aside the proceedings and judgment of the Magistrates’ Court, on the ground that the Magistrates’ Court lacked jurisdiction to entertain the matter, (i) What is the appropriate mode of commencing the fresh action at the High Court? (ii) What documents are required to be filed in court by the Police to properly commence the action? (iii) What documents is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Dr.</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 xml:space="preserve"> </w:t>
      </w:r>
      <w:r>
        <w:rPr>
          <w:rFonts w:ascii="Times New Roman" w:cs="宋体" w:eastAsia="ＭＳ 明朝" w:hAnsi="Times New Roman" w:hint="default"/>
          <w:b w:val="false"/>
          <w:bCs w:val="false"/>
          <w:i w:val="false"/>
          <w:iCs w:val="false"/>
          <w:color w:val="36363d"/>
          <w:sz w:val="24"/>
          <w:szCs w:val="22"/>
          <w:highlight w:val="none"/>
          <w:vertAlign w:val="baseline"/>
          <w:em w:val="none"/>
          <w:lang w:val="en-US" w:eastAsia="en-US"/>
        </w:rPr>
        <w:t>Ben required to file in court in responce to the action? (iv) What is the effect of failure by Dr. Ben to file those documents?</w:t>
      </w:r>
    </w:p>
    <w:p>
      <w:pPr>
        <w:pStyle w:val="style3"/>
        <w:rPr>
          <w:color w:val="36363d"/>
        </w:rPr>
      </w:pPr>
      <w:r>
        <w:rPr>
          <w:color w:val="36363d"/>
        </w:rPr>
        <w:t>Instructions:</w:t>
      </w:r>
    </w:p>
    <w:p>
      <w:pPr>
        <w:pStyle w:val="style179"/>
        <w:numPr>
          <w:ilvl w:val="0"/>
          <w:numId w:val="11"/>
        </w:numPr>
        <w:jc w:val="both"/>
        <w:rPr>
          <w:color w:val="36363d"/>
        </w:rPr>
      </w:pPr>
      <w:r>
        <w:rPr>
          <w:color w:val="36363d"/>
        </w:rPr>
        <w:t>T</w:t>
      </w:r>
      <w:r>
        <w:rPr>
          <w:color w:val="36363d"/>
          <w:lang w:val="en-US"/>
        </w:rPr>
        <w:t xml:space="preserve">he Groups to consider all the questions in their respective groups, and submit their answers in hard copies in class </w:t>
      </w:r>
      <w:r>
        <w:rPr>
          <w:color w:val="36363d"/>
        </w:rPr>
        <w:t>no</w:t>
      </w:r>
      <w:r>
        <w:rPr>
          <w:color w:val="36363d"/>
          <w:lang w:val="en-US"/>
        </w:rPr>
        <w:t>t</w:t>
      </w:r>
      <w:r>
        <w:rPr>
          <w:color w:val="36363d"/>
        </w:rPr>
        <w:t xml:space="preserve"> later than 8:50 a.m. on Thursday, 15 May 2025.</w:t>
      </w:r>
    </w:p>
    <w:p>
      <w:pPr>
        <w:pStyle w:val="style179"/>
        <w:numPr>
          <w:ilvl w:val="0"/>
          <w:numId w:val="11"/>
        </w:numPr>
        <w:jc w:val="both"/>
        <w:rPr>
          <w:color w:val="36363d"/>
        </w:rPr>
      </w:pPr>
      <w:r>
        <w:rPr>
          <w:color w:val="36363d"/>
        </w:rPr>
        <w:t>Non-submission will attract sanctions.</w:t>
      </w:r>
    </w:p>
    <w:p>
      <w:pPr>
        <w:pStyle w:val="style179"/>
        <w:numPr>
          <w:ilvl w:val="0"/>
          <w:numId w:val="11"/>
        </w:numPr>
        <w:jc w:val="both"/>
        <w:rPr>
          <w:color w:val="36363d"/>
        </w:rPr>
      </w:pPr>
      <w:r>
        <w:rPr>
          <w:color w:val="36363d"/>
          <w:lang w:val="en-US"/>
        </w:rPr>
        <w:t>P</w:t>
      </w:r>
      <w:r>
        <w:rPr>
          <w:color w:val="36363d"/>
        </w:rPr>
        <w:t>lagiarism or copying from another student’s work will be severely punished.</w:t>
      </w:r>
    </w:p>
    <w:p>
      <w:pPr>
        <w:pStyle w:val="style179"/>
        <w:numPr>
          <w:ilvl w:val="0"/>
          <w:numId w:val="11"/>
        </w:numPr>
        <w:jc w:val="both"/>
        <w:rPr>
          <w:color w:val="36363d"/>
        </w:rPr>
      </w:pPr>
      <w:r>
        <w:rPr>
          <w:color w:val="36363d"/>
        </w:rPr>
        <w:t>All students must also study the topic “Commencement of Civil Action in the High Court” in preparation for an interactive class session on Thursday, 15 May 2025.</w:t>
      </w:r>
      <w:r>
        <w:rPr>
          <w:color w:val="36363d"/>
        </w:rPr>
        <w:br/>
      </w:r>
      <w:r>
        <w:rPr>
          <w:color w:val="36363d"/>
        </w:rPr>
        <w:br/>
      </w:r>
      <w:r>
        <w:rPr>
          <w:color w:val="36363d"/>
        </w:rPr>
        <w:t>Best wishes.</w:t>
      </w:r>
    </w:p>
    <w:p>
      <w:pPr>
        <w:pStyle w:val="style179"/>
        <w:numPr>
          <w:ilvl w:val="0"/>
          <w:numId w:val="0"/>
        </w:numPr>
        <w:spacing w:lineRule="auto" w:line="120"/>
        <w:ind w:left="720" w:firstLine="0"/>
        <w:rPr>
          <w:color w:val="36363d"/>
        </w:rPr>
      </w:pPr>
      <w:r>
        <w:rPr>
          <w:color w:val="36363d"/>
          <w:lang w:val="en-US"/>
        </w:rPr>
        <w:t xml:space="preserve">Civil Litigation Department, </w:t>
      </w:r>
    </w:p>
    <w:p>
      <w:pPr>
        <w:pStyle w:val="style179"/>
        <w:numPr>
          <w:ilvl w:val="0"/>
          <w:numId w:val="0"/>
        </w:numPr>
        <w:spacing w:lineRule="auto" w:line="120"/>
        <w:ind w:left="720" w:firstLine="0"/>
        <w:rPr>
          <w:color w:val="36363d"/>
        </w:rPr>
      </w:pPr>
      <w:r>
        <w:rPr>
          <w:color w:val="36363d"/>
          <w:lang w:val="en-US"/>
        </w:rPr>
        <w:t xml:space="preserve">Nigerian Law School, </w:t>
      </w:r>
    </w:p>
    <w:p>
      <w:pPr>
        <w:pStyle w:val="style179"/>
        <w:numPr>
          <w:ilvl w:val="0"/>
          <w:numId w:val="0"/>
        </w:numPr>
        <w:spacing w:lineRule="auto" w:line="120"/>
        <w:ind w:left="720" w:firstLine="0"/>
        <w:rPr>
          <w:color w:val="36363d"/>
        </w:rPr>
      </w:pPr>
      <w:r>
        <w:rPr>
          <w:color w:val="36363d"/>
          <w:lang w:val="en-US"/>
        </w:rPr>
        <w:t>Yenagoa Campus</w:t>
      </w:r>
    </w:p>
    <w:p>
      <w:pPr>
        <w:pStyle w:val="style179"/>
        <w:numPr>
          <w:ilvl w:val="0"/>
          <w:numId w:val="0"/>
        </w:numPr>
        <w:spacing w:lineRule="auto" w:line="120"/>
        <w:ind w:left="720" w:firstLine="0"/>
        <w:rPr>
          <w:color w:val="36363d"/>
        </w:rPr>
      </w:pPr>
      <w:r>
        <w:rPr>
          <w:color w:val="36363d"/>
          <w:lang w:val="en-US"/>
        </w:rPr>
        <w:t>Tel: 08039136749</w:t>
      </w:r>
    </w:p>
    <w:p>
      <w:pPr>
        <w:pStyle w:val="style179"/>
        <w:numPr>
          <w:ilvl w:val="0"/>
          <w:numId w:val="0"/>
        </w:numPr>
        <w:spacing w:lineRule="auto" w:line="120"/>
        <w:ind w:left="720" w:firstLine="0"/>
        <w:rPr>
          <w:color w:val="36363d"/>
        </w:rPr>
      </w:pPr>
      <w:r>
        <w:rPr>
          <w:color w:val="36363d"/>
          <w:lang w:val="en-US"/>
        </w:rPr>
        <w:t>Email: nlscivilyenagoa@gmail.com.</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Wingdings 2"/>
    <w:panose1 w:val="05020102010007070707"/>
    <w:charset w:val="02"/>
    <w:family w:val="roman"/>
    <w:pitch w:val="default"/>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abstractNum w:abstractNumId="9">
    <w:nsid w:val="00000009"/>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nsid w:val="0000000A"/>
    <w:multiLevelType w:val="hybridMultilevel"/>
    <w:tmpl w:val="000000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nsid w:val="0000000B"/>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Times New Roman" w:hAnsi="Times New Roman"/>
      <w:sz w:val="24"/>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d68444e6-6bcf-4e97-9c2f-7ef6927ac02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fb7cd7ac-e61d-4d52-91ae-830fa5f6bc1c"/>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9e034c6c-d8e5-4e6c-aa7b-a260be1fdf68"/>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3736c88e-9415-4ab5-9a04-97c7f19acd2a"/>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f9be772a-da3c-4f29-9916-66b4c60b1ade"/>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4ab61cf7-4d50-415c-b41d-a0d2fa32bf21"/>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af0572b7-0ab4-4f75-ac3f-203fe3ed3d0d"/>
    <w:basedOn w:val="style65"/>
    <w:next w:val="style4108"/>
    <w:link w:val="style180"/>
    <w:uiPriority w:val="29"/>
    <w:rPr>
      <w:i/>
      <w:iCs/>
      <w:color w:val="000000"/>
    </w:rPr>
  </w:style>
  <w:style w:type="character" w:customStyle="1" w:styleId="style4109">
    <w:name w:val="Heading 4 Char_17f7ffad-136c-441e-b384-aefc6fb79dc8"/>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661865b9-8a9f-4278-9ec8-e5c9320b746b"/>
    <w:basedOn w:val="style65"/>
    <w:next w:val="style4110"/>
    <w:link w:val="style5"/>
    <w:uiPriority w:val="9"/>
    <w:rPr>
      <w:rFonts w:ascii="Calibri" w:cs="宋体" w:eastAsia="ＭＳ ゴシック" w:hAnsi="Calibri"/>
      <w:color w:val="243f60"/>
    </w:rPr>
  </w:style>
  <w:style w:type="character" w:customStyle="1" w:styleId="style4111">
    <w:name w:val="Heading 6 Char_29fd5aa7-fdbf-4c50-945c-e117f7c7354f"/>
    <w:basedOn w:val="style65"/>
    <w:next w:val="style4111"/>
    <w:link w:val="style6"/>
    <w:uiPriority w:val="9"/>
    <w:rPr>
      <w:rFonts w:ascii="Calibri" w:cs="宋体" w:eastAsia="ＭＳ ゴシック" w:hAnsi="Calibri"/>
      <w:i/>
      <w:iCs/>
      <w:color w:val="243f60"/>
    </w:rPr>
  </w:style>
  <w:style w:type="character" w:customStyle="1" w:styleId="style4112">
    <w:name w:val="Heading 7 Char_a4678c31-23de-45cb-a247-ab9673d57034"/>
    <w:basedOn w:val="style65"/>
    <w:next w:val="style4112"/>
    <w:link w:val="style7"/>
    <w:uiPriority w:val="9"/>
    <w:rPr>
      <w:rFonts w:ascii="Calibri" w:cs="宋体" w:eastAsia="ＭＳ ゴシック" w:hAnsi="Calibri"/>
      <w:i/>
      <w:iCs/>
      <w:color w:val="404040"/>
    </w:rPr>
  </w:style>
  <w:style w:type="character" w:customStyle="1" w:styleId="style4113">
    <w:name w:val="Heading 8 Char_150a3a5b-201d-4b4b-bc84-09ce42da668d"/>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2f283e6-ca58-4f1f-80d1-332c76be0aac"/>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cba3f54b-b394-4714-9113-54a25ed5276f"/>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1460</Words>
  <Pages>1</Pages>
  <Characters>7389</Characters>
  <Application>WPS Office</Application>
  <DocSecurity>0</DocSecurity>
  <Paragraphs>39</Paragraphs>
  <ScaleCrop>false</ScaleCrop>
  <LinksUpToDate>false</LinksUpToDate>
  <CharactersWithSpaces>8819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Infinix X6710</lastModifiedBy>
  <dcterms:modified xsi:type="dcterms:W3CDTF">2025-05-13T05:15:52Z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daae16a1fb3a4000b662f42b80abaed4</vt:lpwstr>
  </property>
</Properties>
</file>