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14AAD" w14:textId="77777777" w:rsidR="00277557" w:rsidRPr="00277557" w:rsidRDefault="00277557" w:rsidP="00277557">
      <w:pPr>
        <w:spacing w:before="60" w:after="60" w:line="240" w:lineRule="auto"/>
        <w:jc w:val="both"/>
        <w:rPr>
          <w:rFonts w:ascii="Times New Roman" w:eastAsia="Times New Roman" w:hAnsi="Times New Roman" w:cs="Times New Roman"/>
          <w:kern w:val="0"/>
          <w:sz w:val="24"/>
          <w:szCs w:val="24"/>
          <w14:ligatures w14:val="none"/>
        </w:rPr>
      </w:pPr>
      <w:r w:rsidRPr="00277557">
        <w:rPr>
          <w:rFonts w:ascii="Arial" w:eastAsia="Times New Roman" w:hAnsi="Arial" w:cs="Arial"/>
          <w:b/>
          <w:bCs/>
          <w:color w:val="000000"/>
          <w:kern w:val="0"/>
          <w:u w:val="single"/>
          <w14:ligatures w14:val="none"/>
        </w:rPr>
        <w:t>SUBMISSION ON POINTS OF LAW</w:t>
      </w:r>
    </w:p>
    <w:p w14:paraId="14EAA82A" w14:textId="77777777" w:rsidR="00277557" w:rsidRPr="00277557" w:rsidRDefault="00277557" w:rsidP="00277557">
      <w:pPr>
        <w:spacing w:after="0" w:line="240" w:lineRule="auto"/>
        <w:rPr>
          <w:rFonts w:ascii="Times New Roman" w:eastAsia="Times New Roman" w:hAnsi="Times New Roman" w:cs="Times New Roman"/>
          <w:kern w:val="0"/>
          <w:sz w:val="24"/>
          <w:szCs w:val="24"/>
          <w14:ligatures w14:val="none"/>
        </w:rPr>
      </w:pPr>
    </w:p>
    <w:p w14:paraId="09421A85" w14:textId="57E911B9" w:rsidR="00277557" w:rsidRPr="00277557" w:rsidRDefault="00277557" w:rsidP="00277557">
      <w:pPr>
        <w:spacing w:before="60" w:after="60" w:line="240" w:lineRule="auto"/>
        <w:jc w:val="both"/>
        <w:rPr>
          <w:rFonts w:eastAsia="Times New Roman" w:cstheme="minorHAnsi"/>
          <w:kern w:val="0"/>
          <w:sz w:val="24"/>
          <w:szCs w:val="24"/>
          <w14:ligatures w14:val="none"/>
        </w:rPr>
      </w:pPr>
      <w:r w:rsidRPr="00277557">
        <w:rPr>
          <w:rFonts w:eastAsia="Times New Roman" w:cstheme="minorHAnsi"/>
          <w:color w:val="000000"/>
          <w:kern w:val="0"/>
          <w:sz w:val="24"/>
          <w:szCs w:val="24"/>
          <w14:ligatures w14:val="none"/>
        </w:rPr>
        <w:t xml:space="preserve">We respectfully submit and invite this </w:t>
      </w:r>
      <w:proofErr w:type="spellStart"/>
      <w:r w:rsidRPr="00277557">
        <w:rPr>
          <w:rFonts w:eastAsia="Times New Roman" w:cstheme="minorHAnsi"/>
          <w:color w:val="000000"/>
          <w:kern w:val="0"/>
          <w:sz w:val="24"/>
          <w:szCs w:val="24"/>
          <w14:ligatures w14:val="none"/>
        </w:rPr>
        <w:t>honourable</w:t>
      </w:r>
      <w:proofErr w:type="spellEnd"/>
      <w:r w:rsidRPr="00277557">
        <w:rPr>
          <w:rFonts w:eastAsia="Times New Roman" w:cstheme="minorHAnsi"/>
          <w:color w:val="000000"/>
          <w:kern w:val="0"/>
          <w:sz w:val="24"/>
          <w:szCs w:val="24"/>
          <w14:ligatures w14:val="none"/>
        </w:rPr>
        <w:t xml:space="preserve"> court to hold the authority of </w:t>
      </w:r>
      <w:r w:rsidRPr="00277557">
        <w:rPr>
          <w:rFonts w:eastAsia="Times New Roman" w:cstheme="minorHAnsi"/>
          <w:b/>
          <w:bCs/>
          <w:i/>
          <w:iCs/>
          <w:color w:val="000000"/>
          <w:kern w:val="0"/>
          <w:sz w:val="24"/>
          <w:szCs w:val="24"/>
          <w14:ligatures w14:val="none"/>
        </w:rPr>
        <w:t>Section 115(1) and 115 (2) of the Evidence Act 2011</w:t>
      </w:r>
      <w:r w:rsidRPr="00277557">
        <w:rPr>
          <w:rFonts w:eastAsia="Times New Roman" w:cstheme="minorHAnsi"/>
          <w:color w:val="000000"/>
          <w:kern w:val="0"/>
          <w:sz w:val="24"/>
          <w:szCs w:val="24"/>
          <w14:ligatures w14:val="none"/>
        </w:rPr>
        <w:t xml:space="preserve"> where it was held that</w:t>
      </w:r>
    </w:p>
    <w:p w14:paraId="480009D4" w14:textId="77777777" w:rsidR="00277557" w:rsidRPr="00277557" w:rsidRDefault="00277557" w:rsidP="00277557">
      <w:pPr>
        <w:spacing w:before="60" w:after="60" w:line="240" w:lineRule="auto"/>
        <w:jc w:val="both"/>
        <w:rPr>
          <w:rFonts w:eastAsia="Times New Roman" w:cstheme="minorHAnsi"/>
          <w:i/>
          <w:iCs/>
          <w:kern w:val="0"/>
          <w:sz w:val="24"/>
          <w:szCs w:val="24"/>
          <w14:ligatures w14:val="none"/>
        </w:rPr>
      </w:pPr>
      <w:proofErr w:type="gramStart"/>
      <w:r w:rsidRPr="00277557">
        <w:rPr>
          <w:rFonts w:eastAsia="Times New Roman" w:cstheme="minorHAnsi"/>
          <w:kern w:val="0"/>
          <w:sz w:val="24"/>
          <w:szCs w:val="24"/>
          <w14:ligatures w14:val="none"/>
        </w:rPr>
        <w:t>1</w:t>
      </w:r>
      <w:r w:rsidRPr="00277557">
        <w:rPr>
          <w:rFonts w:eastAsia="Times New Roman" w:cstheme="minorHAnsi"/>
          <w:i/>
          <w:iCs/>
          <w:kern w:val="0"/>
          <w:sz w:val="24"/>
          <w:szCs w:val="24"/>
          <w14:ligatures w14:val="none"/>
        </w:rPr>
        <w:t>.”Every</w:t>
      </w:r>
      <w:proofErr w:type="gramEnd"/>
      <w:r w:rsidRPr="00277557">
        <w:rPr>
          <w:rFonts w:eastAsia="Times New Roman" w:cstheme="minorHAnsi"/>
          <w:i/>
          <w:iCs/>
          <w:kern w:val="0"/>
          <w:sz w:val="24"/>
          <w:szCs w:val="24"/>
          <w14:ligatures w14:val="none"/>
        </w:rPr>
        <w:t xml:space="preserve"> affidavit used in the court shall contain only a statement of facts and circumstances to which the witness deposes, either of his own personal knowledge or from information which he believes to be true”.</w:t>
      </w:r>
    </w:p>
    <w:p w14:paraId="4485D59E" w14:textId="77777777" w:rsidR="00277557" w:rsidRPr="00277557" w:rsidRDefault="00277557" w:rsidP="00277557">
      <w:pPr>
        <w:spacing w:after="0" w:line="240" w:lineRule="auto"/>
        <w:jc w:val="both"/>
        <w:rPr>
          <w:rFonts w:eastAsia="Times New Roman" w:cstheme="minorHAnsi"/>
          <w:i/>
          <w:iCs/>
          <w:kern w:val="0"/>
          <w:sz w:val="24"/>
          <w:szCs w:val="24"/>
          <w14:ligatures w14:val="none"/>
        </w:rPr>
      </w:pPr>
      <w:r w:rsidRPr="00277557">
        <w:rPr>
          <w:rFonts w:eastAsia="Times New Roman" w:cstheme="minorHAnsi"/>
          <w:i/>
          <w:iCs/>
          <w:kern w:val="0"/>
          <w:sz w:val="24"/>
          <w:szCs w:val="24"/>
          <w14:ligatures w14:val="none"/>
        </w:rPr>
        <w:t>2. An affidavit shall not contain extraneous matter, by way of objection, or prayer, or legal argument or conclusion.</w:t>
      </w:r>
    </w:p>
    <w:p w14:paraId="5530E7D6" w14:textId="77777777" w:rsidR="00277557" w:rsidRPr="00277557" w:rsidRDefault="00277557" w:rsidP="00277557">
      <w:pPr>
        <w:spacing w:after="0" w:line="240" w:lineRule="auto"/>
        <w:jc w:val="both"/>
        <w:rPr>
          <w:rFonts w:eastAsia="Times New Roman" w:cstheme="minorHAnsi"/>
          <w:i/>
          <w:iCs/>
          <w:kern w:val="0"/>
          <w:sz w:val="24"/>
          <w:szCs w:val="24"/>
          <w14:ligatures w14:val="none"/>
        </w:rPr>
      </w:pPr>
    </w:p>
    <w:p w14:paraId="7FB83D5F" w14:textId="77777777" w:rsidR="00277557" w:rsidRPr="00277557" w:rsidRDefault="00277557" w:rsidP="00277557">
      <w:pPr>
        <w:spacing w:after="0" w:line="240" w:lineRule="auto"/>
        <w:jc w:val="both"/>
        <w:rPr>
          <w:rFonts w:eastAsia="Times New Roman" w:cstheme="minorHAnsi"/>
          <w:kern w:val="0"/>
          <w:sz w:val="24"/>
          <w:szCs w:val="24"/>
          <w14:ligatures w14:val="none"/>
        </w:rPr>
      </w:pPr>
    </w:p>
    <w:p w14:paraId="5D60F2CD" w14:textId="22276CE3" w:rsidR="00277557" w:rsidRPr="00277557" w:rsidRDefault="00277557" w:rsidP="00277557">
      <w:pPr>
        <w:spacing w:after="0" w:line="240" w:lineRule="auto"/>
        <w:jc w:val="both"/>
        <w:rPr>
          <w:rFonts w:eastAsia="Times New Roman" w:cstheme="minorHAnsi"/>
          <w:b/>
          <w:bCs/>
          <w:i/>
          <w:iCs/>
          <w:kern w:val="0"/>
          <w:sz w:val="24"/>
          <w:szCs w:val="24"/>
          <w14:ligatures w14:val="none"/>
        </w:rPr>
      </w:pPr>
      <w:r w:rsidRPr="00277557">
        <w:rPr>
          <w:rFonts w:eastAsia="Times New Roman" w:cstheme="minorHAnsi"/>
          <w:kern w:val="0"/>
          <w:sz w:val="24"/>
          <w:szCs w:val="24"/>
          <w:shd w:val="clear" w:color="auto" w:fill="FFFFFF" w:themeFill="background1"/>
          <w14:ligatures w14:val="none"/>
        </w:rPr>
        <w:t>“</w:t>
      </w:r>
      <w:r w:rsidRPr="00277557">
        <w:rPr>
          <w:rFonts w:eastAsia="Times New Roman" w:cstheme="minorHAnsi"/>
          <w:i/>
          <w:iCs/>
          <w:kern w:val="0"/>
          <w:sz w:val="24"/>
          <w:szCs w:val="24"/>
          <w:shd w:val="clear" w:color="auto" w:fill="FFFFFF" w:themeFill="background1"/>
          <w14:ligatures w14:val="none"/>
        </w:rPr>
        <w:t>The test for knowing facts and circumstances is to examine each of the paragraphs deposed to in the affidavit. If it is such that a witness may be entitled to adduce them in his testimony on oath and are legally admissible as evidence to prove or disprove a fact or of circumstances. This means that affidavit evidence, like oral evidence, must as a general rule deal with facts and avoid matter of inference or conclusion which fall within the province of the Court; or objection, prayer or legal argument which must be left to counsel. If therefore, affidavit evidence is in the form of conclusion, inference, legal argument, prayer or objection, it raises no fact which needs to be controverted, but is simply regarded as extraneous to the determination of factual disputes</w:t>
      </w:r>
      <w:r w:rsidRPr="00277557">
        <w:rPr>
          <w:rFonts w:eastAsia="Times New Roman" w:cstheme="minorHAnsi"/>
          <w:kern w:val="0"/>
          <w:sz w:val="24"/>
          <w:szCs w:val="24"/>
          <w:shd w:val="clear" w:color="auto" w:fill="FFFFFF" w:themeFill="background1"/>
          <w14:ligatures w14:val="none"/>
        </w:rPr>
        <w:t>”</w:t>
      </w:r>
      <w:r w:rsidRPr="00277557">
        <w:rPr>
          <w:rFonts w:eastAsia="Times New Roman" w:cstheme="minorHAnsi"/>
          <w:kern w:val="0"/>
          <w:sz w:val="24"/>
          <w:szCs w:val="24"/>
          <w:shd w:val="clear" w:color="auto" w:fill="FFFFFF" w:themeFill="background1"/>
          <w14:ligatures w14:val="none"/>
        </w:rPr>
        <w:t xml:space="preserve"> </w:t>
      </w:r>
      <w:proofErr w:type="spellStart"/>
      <w:r w:rsidRPr="00277557">
        <w:rPr>
          <w:rFonts w:eastAsia="Times New Roman" w:cstheme="minorHAnsi"/>
          <w:b/>
          <w:bCs/>
          <w:i/>
          <w:iCs/>
          <w:kern w:val="0"/>
          <w:sz w:val="24"/>
          <w:szCs w:val="24"/>
          <w:shd w:val="clear" w:color="auto" w:fill="FFFFFF" w:themeFill="background1"/>
          <w14:ligatures w14:val="none"/>
        </w:rPr>
        <w:t>Uwaifo</w:t>
      </w:r>
      <w:proofErr w:type="spellEnd"/>
      <w:r w:rsidRPr="00277557">
        <w:rPr>
          <w:rFonts w:eastAsia="Times New Roman" w:cstheme="minorHAnsi"/>
          <w:b/>
          <w:bCs/>
          <w:i/>
          <w:iCs/>
          <w:kern w:val="0"/>
          <w:sz w:val="24"/>
          <w:szCs w:val="24"/>
          <w:shd w:val="clear" w:color="auto" w:fill="FFFFFF" w:themeFill="background1"/>
          <w14:ligatures w14:val="none"/>
        </w:rPr>
        <w:t xml:space="preserve">, JSC, in Gen &amp; Aviation Serv. Ltd v. </w:t>
      </w:r>
      <w:proofErr w:type="spellStart"/>
      <w:r w:rsidRPr="00277557">
        <w:rPr>
          <w:rFonts w:eastAsia="Times New Roman" w:cstheme="minorHAnsi"/>
          <w:b/>
          <w:bCs/>
          <w:i/>
          <w:iCs/>
          <w:kern w:val="0"/>
          <w:sz w:val="24"/>
          <w:szCs w:val="24"/>
          <w:shd w:val="clear" w:color="auto" w:fill="FFFFFF" w:themeFill="background1"/>
          <w14:ligatures w14:val="none"/>
        </w:rPr>
        <w:t>Thahal</w:t>
      </w:r>
      <w:proofErr w:type="spellEnd"/>
      <w:r w:rsidRPr="00277557">
        <w:rPr>
          <w:rFonts w:eastAsia="Times New Roman" w:cstheme="minorHAnsi"/>
          <w:b/>
          <w:bCs/>
          <w:i/>
          <w:iCs/>
          <w:kern w:val="0"/>
          <w:sz w:val="24"/>
          <w:szCs w:val="24"/>
          <w:shd w:val="clear" w:color="auto" w:fill="FFFFFF" w:themeFill="background1"/>
          <w14:ligatures w14:val="none"/>
        </w:rPr>
        <w:t xml:space="preserve"> (2014) 10 NWLR (Pt. 880) 50 at </w:t>
      </w:r>
      <w:proofErr w:type="gramStart"/>
      <w:r w:rsidRPr="00277557">
        <w:rPr>
          <w:rFonts w:eastAsia="Times New Roman" w:cstheme="minorHAnsi"/>
          <w:b/>
          <w:bCs/>
          <w:i/>
          <w:iCs/>
          <w:kern w:val="0"/>
          <w:sz w:val="24"/>
          <w:szCs w:val="24"/>
          <w:shd w:val="clear" w:color="auto" w:fill="FFFFFF" w:themeFill="background1"/>
          <w14:ligatures w14:val="none"/>
        </w:rPr>
        <w:t>73</w:t>
      </w:r>
      <w:r w:rsidRPr="00277557">
        <w:rPr>
          <w:rFonts w:eastAsia="Times New Roman" w:cstheme="minorHAnsi"/>
          <w:b/>
          <w:bCs/>
          <w:i/>
          <w:iCs/>
          <w:kern w:val="0"/>
          <w:sz w:val="24"/>
          <w:szCs w:val="24"/>
          <w:shd w:val="clear" w:color="auto" w:fill="FFFFFF" w:themeFill="background1"/>
          <w14:ligatures w14:val="none"/>
        </w:rPr>
        <w:t>,</w:t>
      </w:r>
      <w:r w:rsidRPr="00277557">
        <w:rPr>
          <w:rFonts w:eastAsia="Times New Roman" w:cstheme="minorHAnsi"/>
          <w:b/>
          <w:bCs/>
          <w:i/>
          <w:iCs/>
          <w:kern w:val="0"/>
          <w:sz w:val="24"/>
          <w:szCs w:val="24"/>
          <w14:ligatures w14:val="none"/>
        </w:rPr>
        <w:t>PDP</w:t>
      </w:r>
      <w:proofErr w:type="gramEnd"/>
      <w:r w:rsidRPr="00277557">
        <w:rPr>
          <w:rFonts w:eastAsia="Times New Roman" w:cstheme="minorHAnsi"/>
          <w:b/>
          <w:bCs/>
          <w:i/>
          <w:iCs/>
          <w:kern w:val="0"/>
          <w:sz w:val="24"/>
          <w:szCs w:val="24"/>
          <w14:ligatures w14:val="none"/>
        </w:rPr>
        <w:t xml:space="preserve"> v. ANDP &amp; ORS(2020) LPELR-50993(CA)</w:t>
      </w:r>
    </w:p>
    <w:p w14:paraId="6B4F8B98" w14:textId="1418E2A7" w:rsidR="00277557" w:rsidRPr="00277557" w:rsidRDefault="00277557" w:rsidP="00277557">
      <w:pPr>
        <w:spacing w:after="0" w:line="240" w:lineRule="auto"/>
        <w:jc w:val="both"/>
        <w:rPr>
          <w:rFonts w:eastAsia="Times New Roman" w:cstheme="minorHAnsi"/>
          <w:b/>
          <w:bCs/>
          <w:kern w:val="0"/>
          <w:sz w:val="24"/>
          <w:szCs w:val="24"/>
          <w14:ligatures w14:val="none"/>
        </w:rPr>
      </w:pPr>
      <w:r w:rsidRPr="00277557">
        <w:rPr>
          <w:rFonts w:eastAsia="Times New Roman" w:cstheme="minorHAnsi"/>
          <w:i/>
          <w:iCs/>
          <w:kern w:val="0"/>
          <w:sz w:val="24"/>
          <w:szCs w:val="24"/>
          <w:shd w:val="clear" w:color="auto" w:fill="FFFFFF"/>
          <w14:ligatures w14:val="none"/>
        </w:rPr>
        <w:t>“</w:t>
      </w:r>
      <w:r w:rsidRPr="00277557">
        <w:rPr>
          <w:rFonts w:eastAsia="Times New Roman" w:cstheme="minorHAnsi"/>
          <w:i/>
          <w:iCs/>
          <w:kern w:val="0"/>
          <w:sz w:val="24"/>
          <w:szCs w:val="24"/>
          <w:shd w:val="clear" w:color="auto" w:fill="FFFFFF"/>
          <w14:ligatures w14:val="none"/>
        </w:rPr>
        <w:t>An affidavit means a deposition by a deponent stating clearly his factual position on the issue for consideration</w:t>
      </w:r>
      <w:r w:rsidRPr="00277557">
        <w:rPr>
          <w:rFonts w:eastAsia="Times New Roman" w:cstheme="minorHAnsi"/>
          <w:kern w:val="0"/>
          <w:sz w:val="24"/>
          <w:szCs w:val="24"/>
          <w:shd w:val="clear" w:color="auto" w:fill="FFFFFF"/>
          <w14:ligatures w14:val="none"/>
        </w:rPr>
        <w:t xml:space="preserve">, </w:t>
      </w:r>
      <w:r w:rsidRPr="00277557">
        <w:rPr>
          <w:rFonts w:eastAsia="Times New Roman" w:cstheme="minorHAnsi"/>
          <w:b/>
          <w:bCs/>
          <w:kern w:val="0"/>
          <w:sz w:val="24"/>
          <w:szCs w:val="24"/>
          <w:shd w:val="clear" w:color="auto" w:fill="FFFFFF"/>
          <w14:ligatures w14:val="none"/>
        </w:rPr>
        <w:t xml:space="preserve">see Eze v. </w:t>
      </w:r>
      <w:proofErr w:type="spellStart"/>
      <w:r w:rsidRPr="00277557">
        <w:rPr>
          <w:rFonts w:eastAsia="Times New Roman" w:cstheme="minorHAnsi"/>
          <w:b/>
          <w:bCs/>
          <w:kern w:val="0"/>
          <w:sz w:val="24"/>
          <w:szCs w:val="24"/>
          <w:shd w:val="clear" w:color="auto" w:fill="FFFFFF"/>
          <w14:ligatures w14:val="none"/>
        </w:rPr>
        <w:t>Unijos</w:t>
      </w:r>
      <w:proofErr w:type="spellEnd"/>
      <w:r w:rsidRPr="00277557">
        <w:rPr>
          <w:rFonts w:eastAsia="Times New Roman" w:cstheme="minorHAnsi"/>
          <w:b/>
          <w:bCs/>
          <w:kern w:val="0"/>
          <w:sz w:val="24"/>
          <w:szCs w:val="24"/>
          <w:shd w:val="clear" w:color="auto" w:fill="FFFFFF"/>
          <w14:ligatures w14:val="none"/>
        </w:rPr>
        <w:t xml:space="preserve"> (2017) 17 NWLR (Pt. 1593)</w:t>
      </w:r>
      <w:r w:rsidRPr="00277557">
        <w:rPr>
          <w:rFonts w:eastAsia="Times New Roman" w:cstheme="minorHAnsi"/>
          <w:kern w:val="0"/>
          <w:sz w:val="24"/>
          <w:szCs w:val="24"/>
          <w:shd w:val="clear" w:color="auto" w:fill="FFFFFF"/>
          <w14:ligatures w14:val="none"/>
        </w:rPr>
        <w:t xml:space="preserve"> 1. It is settled law, that an affidavit shall contain only statement of facts and circumstance and devoid of extraneous matters such as objections, prayers, legal arguments or conclusions, </w:t>
      </w:r>
      <w:r w:rsidRPr="00277557">
        <w:rPr>
          <w:rFonts w:eastAsia="Times New Roman" w:cstheme="minorHAnsi"/>
          <w:b/>
          <w:bCs/>
          <w:kern w:val="0"/>
          <w:sz w:val="24"/>
          <w:szCs w:val="24"/>
          <w:shd w:val="clear" w:color="auto" w:fill="FFFFFF"/>
          <w14:ligatures w14:val="none"/>
        </w:rPr>
        <w:t xml:space="preserve">see - A.-G., Adamawa State v. A.-G. Fed (2005) 18 NWLR (Pt. 958) 581; </w:t>
      </w:r>
      <w:proofErr w:type="spellStart"/>
      <w:r w:rsidRPr="00277557">
        <w:rPr>
          <w:rFonts w:eastAsia="Times New Roman" w:cstheme="minorHAnsi"/>
          <w:b/>
          <w:bCs/>
          <w:kern w:val="0"/>
          <w:sz w:val="24"/>
          <w:szCs w:val="24"/>
          <w:shd w:val="clear" w:color="auto" w:fill="FFFFFF"/>
          <w14:ligatures w14:val="none"/>
        </w:rPr>
        <w:t>Inakoju</w:t>
      </w:r>
      <w:proofErr w:type="spellEnd"/>
      <w:r w:rsidRPr="00277557">
        <w:rPr>
          <w:rFonts w:eastAsia="Times New Roman" w:cstheme="minorHAnsi"/>
          <w:b/>
          <w:bCs/>
          <w:kern w:val="0"/>
          <w:sz w:val="24"/>
          <w:szCs w:val="24"/>
          <w:shd w:val="clear" w:color="auto" w:fill="FFFFFF"/>
          <w14:ligatures w14:val="none"/>
        </w:rPr>
        <w:t xml:space="preserve"> v. Adeleke (2007) 4 NWLR (Pt. 1025 </w:t>
      </w:r>
      <w:r w:rsidRPr="00277557">
        <w:rPr>
          <w:rFonts w:eastAsia="Times New Roman" w:cstheme="minorHAnsi"/>
          <w:b/>
          <w:bCs/>
          <w:kern w:val="0"/>
          <w:sz w:val="24"/>
          <w:szCs w:val="24"/>
          <w14:ligatures w14:val="none"/>
        </w:rPr>
        <w:t>PDP v. ANDP &amp; ORS (2020) LPELR-50993(CA)</w:t>
      </w:r>
    </w:p>
    <w:p w14:paraId="65AB405A" w14:textId="77777777" w:rsidR="00277557" w:rsidRPr="00277557" w:rsidRDefault="00277557" w:rsidP="00277557">
      <w:pPr>
        <w:spacing w:after="0" w:line="240" w:lineRule="auto"/>
        <w:jc w:val="both"/>
        <w:rPr>
          <w:rFonts w:eastAsia="Times New Roman" w:cstheme="minorHAnsi"/>
          <w:b/>
          <w:bCs/>
          <w:kern w:val="0"/>
          <w:sz w:val="24"/>
          <w:szCs w:val="24"/>
          <w14:ligatures w14:val="none"/>
        </w:rPr>
      </w:pPr>
    </w:p>
    <w:p w14:paraId="75D09987" w14:textId="77777777" w:rsidR="00277557" w:rsidRPr="00277557" w:rsidRDefault="00277557" w:rsidP="00277557">
      <w:pPr>
        <w:spacing w:after="0" w:line="240" w:lineRule="auto"/>
        <w:jc w:val="both"/>
        <w:rPr>
          <w:rFonts w:eastAsia="Times New Roman" w:cstheme="minorHAnsi"/>
          <w:kern w:val="0"/>
          <w:sz w:val="24"/>
          <w:szCs w:val="24"/>
          <w14:ligatures w14:val="none"/>
        </w:rPr>
      </w:pPr>
      <w:r w:rsidRPr="00277557">
        <w:rPr>
          <w:rFonts w:eastAsia="Times New Roman" w:cstheme="minorHAnsi"/>
          <w:kern w:val="0"/>
          <w:sz w:val="24"/>
          <w:szCs w:val="24"/>
          <w:shd w:val="clear" w:color="auto" w:fill="F5F7FA"/>
          <w14:ligatures w14:val="none"/>
        </w:rPr>
        <w:t>Paragraph 3(a) and 3 (b)</w:t>
      </w:r>
      <w:r w:rsidRPr="00277557">
        <w:rPr>
          <w:rFonts w:eastAsia="Times New Roman" w:cstheme="minorHAnsi"/>
          <w:kern w:val="0"/>
          <w:sz w:val="24"/>
          <w:szCs w:val="24"/>
          <w14:ligatures w14:val="none"/>
        </w:rPr>
        <w:t>of the claimant’s affidavit, comes squarely within the domain of legal argument which ought to be left to counsel to urge on the Court. By the same token, the averment, also, qualifies as conclusion which is within the prerogative right of a Court to draw from the facts and legal arguments</w:t>
      </w:r>
    </w:p>
    <w:p w14:paraId="4C3D48B0" w14:textId="77777777" w:rsidR="001E0AA2" w:rsidRPr="00277557" w:rsidRDefault="001E0AA2" w:rsidP="00277557">
      <w:pPr>
        <w:jc w:val="both"/>
        <w:rPr>
          <w:rFonts w:cstheme="minorHAnsi"/>
          <w:sz w:val="24"/>
          <w:szCs w:val="24"/>
        </w:rPr>
      </w:pPr>
    </w:p>
    <w:sectPr w:rsidR="001E0AA2" w:rsidRPr="00277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57"/>
    <w:rsid w:val="001E0AA2"/>
    <w:rsid w:val="00277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F28E"/>
  <w15:chartTrackingRefBased/>
  <w15:docId w15:val="{D06268E2-BFE0-45C4-9E01-AA8FD7BB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75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64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Damilola Adewunmi</cp:lastModifiedBy>
  <cp:revision>1</cp:revision>
  <dcterms:created xsi:type="dcterms:W3CDTF">2023-10-16T16:32:00Z</dcterms:created>
  <dcterms:modified xsi:type="dcterms:W3CDTF">2023-10-16T16:36:00Z</dcterms:modified>
</cp:coreProperties>
</file>