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COUNCIL OF LEGAL EDUCATION </w:t>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NIGERIAN LAW SCHOOL </w:t>
      </w:r>
    </w:p>
    <w:p w:rsidR="00000000" w:rsidDel="00000000" w:rsidP="00000000" w:rsidRDefault="00000000" w:rsidRPr="00000000" w14:paraId="00000003">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LAW OFFICE EXTERNSHIP PROGRAM</w:t>
      </w:r>
    </w:p>
    <w:p w:rsidR="00000000" w:rsidDel="00000000" w:rsidP="00000000" w:rsidRDefault="00000000" w:rsidRPr="00000000" w14:paraId="00000004">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YENAGOA CAMPUS</w:t>
      </w:r>
    </w:p>
    <w:p w:rsidR="00000000" w:rsidDel="00000000" w:rsidP="00000000" w:rsidRDefault="00000000" w:rsidRPr="00000000" w14:paraId="00000005">
      <w:pPr>
        <w:spacing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NAME: ADAMU MIRACLE FATIMA</w:t>
      </w:r>
    </w:p>
    <w:p w:rsidR="00000000" w:rsidDel="00000000" w:rsidP="00000000" w:rsidRDefault="00000000" w:rsidRPr="00000000" w14:paraId="0000000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REG NO: CLE/NLS/YEN/25R/786</w:t>
      </w:r>
    </w:p>
    <w:p w:rsidR="00000000" w:rsidDel="00000000" w:rsidP="00000000" w:rsidRDefault="00000000" w:rsidRPr="00000000" w14:paraId="00000008">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GROUP 6</w:t>
      </w:r>
    </w:p>
    <w:p w:rsidR="00000000" w:rsidDel="00000000" w:rsidP="00000000" w:rsidRDefault="00000000" w:rsidRPr="00000000" w14:paraId="00000009">
      <w:pPr>
        <w:spacing w:line="276"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ETHICAL DILEMMA ESSAY</w:t>
      </w:r>
    </w:p>
    <w:p w:rsidR="00000000" w:rsidDel="00000000" w:rsidP="00000000" w:rsidRDefault="00000000" w:rsidRPr="00000000" w14:paraId="0000000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 </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mid-level legal associate at a prominent law firm was assigned to assist on a complex intellectual property dispute. During case preparation, the associate discovered that some evidence obtained through a concerned client might involve breaching another party’s confidential information. The associate was not part of the senior counsel team and had limited experience managing sensitive ethical issues. Under tight deadlines, the associate contemplated whether to report the potential breach internally or continue preparation without raising concern, fearing professional repercussions. Unclear whether disclosure would violate rules or undermine the client’s case, the associate faced significant pressure.</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Dilemma</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ethical conflict was balancing the responsibility to protect the client’s interests and confidentiality under Rule 15 (Integrity and Dignity) and Rule 16 (Competence) against the duty to act honestly and with professional courtesy under Rule 22 and to avoid improper conduct outlined in Rule 30 (Improper Use of Confidential Information). Moreover, Rule 36 (Conduct in Court or Before Tribunals) mandated maintaining fairness and respect for justice, which could require disclosing any unethical evidence handling.Should the associate prioritize strict confidentiality and client loyalty, risking compounding unethical behavior, or disclose internally to uphold integrity and fairness in the legal process, risking client trust and professional tension? This dilemma illustrates how multiple overlapping RPC obligations require careful professional judgment.</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Rules of Professional Conduct</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15: Lawyers must uphold dignity and integrity of the profession by acting honestly and ethically with all clients and colleagues.</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16: Competence includes recognizing and addressing ethical conflicts responsibly.</w:t>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22: Mutual respect and courtesy are essential among lawyers, especially when resolving ethical issues within teams.</w:t>
      </w:r>
    </w:p>
    <w:p w:rsidR="00000000" w:rsidDel="00000000" w:rsidP="00000000" w:rsidRDefault="00000000" w:rsidRPr="00000000" w14:paraId="000000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30: Prohibits lawyers from using or disclosing confidential information improperly to gain advantage or damage others.</w:t>
      </w:r>
    </w:p>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 36: Requires lawyers to act fairly and respectfully in court and uphold justice, including avoiding deceptive or unlawful evidence practices.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