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EC68C">
      <w:pPr>
        <w:spacing w:line="240" w:lineRule="auto"/>
        <w:jc w:val="center"/>
        <w:rPr>
          <w:rFonts w:ascii="Times New Roman" w:hAnsi="Times New Roman" w:cs="Times New Roman"/>
          <w:b/>
          <w:lang w:val="en-US"/>
        </w:rPr>
      </w:pPr>
      <w:r>
        <w:rPr>
          <w:rFonts w:ascii="Times New Roman" w:hAnsi="Times New Roman" w:cs="Times New Roman"/>
          <w:b/>
          <w:lang w:val="en-US"/>
        </w:rPr>
        <w:t>COUNCIL OF LEGAL EDUCATION</w:t>
      </w:r>
    </w:p>
    <w:p w14:paraId="74C3C385">
      <w:pPr>
        <w:spacing w:line="240" w:lineRule="auto"/>
        <w:jc w:val="center"/>
        <w:rPr>
          <w:rFonts w:ascii="Times New Roman" w:hAnsi="Times New Roman" w:cs="Times New Roman"/>
          <w:b/>
          <w:lang w:val="en-US"/>
        </w:rPr>
      </w:pPr>
      <w:r>
        <w:rPr>
          <w:rFonts w:ascii="Times New Roman" w:hAnsi="Times New Roman" w:cs="Times New Roman"/>
          <w:b/>
          <w:lang w:val="en-US"/>
        </w:rPr>
        <w:t>NIGERIAN LAW SCHOOL</w:t>
      </w:r>
    </w:p>
    <w:p w14:paraId="1530BD48">
      <w:pPr>
        <w:spacing w:line="240" w:lineRule="auto"/>
        <w:jc w:val="center"/>
        <w:rPr>
          <w:rFonts w:ascii="Times New Roman" w:hAnsi="Times New Roman" w:cs="Times New Roman"/>
          <w:b/>
          <w:bCs/>
          <w:lang w:val="en-US"/>
        </w:rPr>
      </w:pPr>
      <w:r>
        <w:rPr>
          <w:rFonts w:ascii="Times New Roman" w:hAnsi="Times New Roman" w:cs="Times New Roman"/>
          <w:b/>
          <w:bCs/>
          <w:lang w:val="en-US"/>
        </w:rPr>
        <w:t>EXTERNSHIP PROGRAMME 2024/2025 SESSION</w:t>
      </w:r>
    </w:p>
    <w:p w14:paraId="09DA1F4B">
      <w:pPr>
        <w:spacing w:line="240" w:lineRule="auto"/>
        <w:jc w:val="center"/>
        <w:rPr>
          <w:rFonts w:ascii="Times New Roman" w:hAnsi="Times New Roman" w:cs="Times New Roman"/>
          <w:b/>
          <w:lang w:val="en-US"/>
        </w:rPr>
      </w:pPr>
      <w:r>
        <w:rPr>
          <w:rFonts w:ascii="Times New Roman" w:hAnsi="Times New Roman" w:cs="Times New Roman"/>
          <w:b/>
          <w:lang w:val="en-US"/>
        </w:rPr>
        <w:t>YENAGOA CAMPUS</w:t>
      </w:r>
    </w:p>
    <w:p w14:paraId="668BF2C8">
      <w:pPr>
        <w:spacing w:line="240" w:lineRule="auto"/>
        <w:jc w:val="both"/>
        <w:rPr>
          <w:rFonts w:ascii="Times New Roman" w:hAnsi="Times New Roman" w:cs="Times New Roman"/>
          <w:b/>
          <w:lang w:val="en-US"/>
        </w:rPr>
      </w:pPr>
      <w:r>
        <w:rPr>
          <w:rFonts w:ascii="Times New Roman" w:hAnsi="Times New Roman" w:cs="Times New Roman"/>
          <w:b/>
          <w:lang w:val="en-US"/>
        </w:rPr>
        <w:t>NAME: ADAMU MIRACLE FATIMA</w:t>
      </w:r>
    </w:p>
    <w:p w14:paraId="21EDD8E5">
      <w:pPr>
        <w:spacing w:line="240" w:lineRule="auto"/>
        <w:jc w:val="both"/>
        <w:rPr>
          <w:rFonts w:ascii="Times New Roman" w:hAnsi="Times New Roman" w:cs="Times New Roman"/>
          <w:b/>
          <w:lang w:val="en-US"/>
        </w:rPr>
      </w:pPr>
      <w:r>
        <w:rPr>
          <w:rFonts w:ascii="Times New Roman" w:hAnsi="Times New Roman" w:cs="Times New Roman"/>
          <w:b/>
          <w:lang w:val="en-US"/>
        </w:rPr>
        <w:t>REG. NO: 786</w:t>
      </w:r>
    </w:p>
    <w:p w14:paraId="3CA694CB">
      <w:pPr>
        <w:spacing w:line="240" w:lineRule="auto"/>
        <w:jc w:val="both"/>
        <w:rPr>
          <w:rFonts w:ascii="Times New Roman" w:hAnsi="Times New Roman" w:cs="Times New Roman"/>
          <w:b/>
          <w:lang w:val="en-US"/>
        </w:rPr>
      </w:pPr>
      <w:r>
        <w:rPr>
          <w:rFonts w:ascii="Times New Roman" w:hAnsi="Times New Roman" w:cs="Times New Roman"/>
          <w:b/>
          <w:lang w:val="en-US"/>
        </w:rPr>
        <w:t>GROUP 6</w:t>
      </w:r>
    </w:p>
    <w:p w14:paraId="5DA71426">
      <w:pPr>
        <w:spacing w:line="240" w:lineRule="auto"/>
        <w:jc w:val="both"/>
        <w:rPr>
          <w:rFonts w:ascii="Times New Roman" w:hAnsi="Times New Roman" w:cs="Times New Roman"/>
          <w:lang w:val="en-US"/>
        </w:rPr>
      </w:pPr>
    </w:p>
    <w:p w14:paraId="6DBCDEED">
      <w:pPr>
        <w:spacing w:line="360" w:lineRule="auto"/>
        <w:jc w:val="center"/>
        <w:rPr>
          <w:rFonts w:ascii="Times New Roman" w:hAnsi="Times New Roman" w:cs="Times New Roman"/>
          <w:b/>
          <w:bCs/>
          <w:u w:val="single"/>
          <w:lang w:val="en-US"/>
        </w:rPr>
      </w:pPr>
      <w:r>
        <w:rPr>
          <w:rFonts w:ascii="Times New Roman" w:hAnsi="Times New Roman" w:cs="Times New Roman"/>
          <w:b/>
          <w:bCs/>
          <w:u w:val="single"/>
          <w:lang w:val="en-US"/>
        </w:rPr>
        <w:t>LAW OFFICE MANAGEMENT AND ORGANISATION</w:t>
      </w:r>
    </w:p>
    <w:p w14:paraId="3EBBF5BF">
      <w:pPr>
        <w:pStyle w:val="13"/>
        <w:spacing w:line="360" w:lineRule="auto"/>
        <w:jc w:val="both"/>
      </w:pPr>
      <w:r>
        <w:t xml:space="preserve">The law firm where I was posted is </w:t>
      </w:r>
      <w:r>
        <w:rPr>
          <w:lang w:val="en-US"/>
        </w:rPr>
        <w:t xml:space="preserve"> </w:t>
      </w:r>
      <w:r>
        <w:rPr>
          <w:sz w:val="28"/>
          <w:szCs w:val="28"/>
          <w:lang w:val="en-US"/>
        </w:rPr>
        <w:t>Abdulazi</w:t>
      </w:r>
      <w:r>
        <w:rPr>
          <w:sz w:val="24"/>
          <w:szCs w:val="24"/>
          <w:lang w:val="en-US"/>
        </w:rPr>
        <w:t>z</w:t>
      </w:r>
      <w:r>
        <w:rPr>
          <w:sz w:val="28"/>
          <w:szCs w:val="28"/>
          <w:lang w:val="en-US"/>
        </w:rPr>
        <w:t xml:space="preserve"> </w:t>
      </w:r>
      <w:r>
        <w:rPr>
          <w:rStyle w:val="17"/>
          <w:rFonts w:eastAsiaTheme="majorEastAsia"/>
        </w:rPr>
        <w:t>&amp; Co</w:t>
      </w:r>
      <w:r>
        <w:t xml:space="preserve">, located at </w:t>
      </w:r>
      <w:r>
        <w:rPr>
          <w:rStyle w:val="17"/>
          <w:rFonts w:eastAsiaTheme="majorEastAsia"/>
        </w:rPr>
        <w:t>No. 37, T.Y. Danjuma Street, Asokoro, Abuja</w:t>
      </w:r>
      <w:r>
        <w:t xml:space="preserve">. The firm operates as a </w:t>
      </w:r>
      <w:r>
        <w:rPr>
          <w:rStyle w:val="17"/>
          <w:rFonts w:eastAsiaTheme="majorEastAsia"/>
        </w:rPr>
        <w:t>sole proprietorship</w:t>
      </w:r>
      <w:r>
        <w:t xml:space="preserve"> under the leadership of </w:t>
      </w:r>
      <w:r>
        <w:rPr>
          <w:lang w:val="en-US"/>
        </w:rPr>
        <w:t xml:space="preserve">Abdulaziz Ibrahim </w:t>
      </w:r>
      <w:r>
        <w:rPr>
          <w:rStyle w:val="17"/>
          <w:rFonts w:eastAsiaTheme="majorEastAsia"/>
        </w:rPr>
        <w:t>, SAN</w:t>
      </w:r>
      <w:r>
        <w:t xml:space="preserve">, who also serves as the managing partner. The firm’s practice areas cover a wide range of legal fields including </w:t>
      </w:r>
      <w:r>
        <w:rPr>
          <w:rStyle w:val="17"/>
          <w:rFonts w:eastAsiaTheme="majorEastAsia"/>
        </w:rPr>
        <w:t>litigation, corporate law, maritime law, human rights, and election petitions</w:t>
      </w:r>
      <w:r>
        <w:t xml:space="preserve">. It has </w:t>
      </w:r>
      <w:r>
        <w:rPr>
          <w:rStyle w:val="17"/>
          <w:rFonts w:eastAsiaTheme="majorEastAsia"/>
        </w:rPr>
        <w:t>eight lawyers</w:t>
      </w:r>
      <w:r>
        <w:t xml:space="preserve"> and </w:t>
      </w:r>
      <w:r>
        <w:rPr>
          <w:rStyle w:val="17"/>
          <w:rFonts w:eastAsiaTheme="majorEastAsia"/>
        </w:rPr>
        <w:t>six support staff</w:t>
      </w:r>
      <w:r>
        <w:t>.</w:t>
      </w:r>
    </w:p>
    <w:p w14:paraId="4BCF73DB">
      <w:pPr>
        <w:pStyle w:val="13"/>
        <w:spacing w:line="360" w:lineRule="auto"/>
        <w:jc w:val="both"/>
      </w:pPr>
      <w:r>
        <w:t>The management and organization of the firm are overseen by the lead partner in collaboration with other lawyers. However, due to the partner’s busy schedule, much of the administrative work is handled by the other lawyers.</w:t>
      </w:r>
    </w:p>
    <w:p w14:paraId="709C7FBB">
      <w:pPr>
        <w:pStyle w:val="13"/>
        <w:spacing w:line="360" w:lineRule="auto"/>
        <w:jc w:val="both"/>
      </w:pPr>
      <w:r>
        <w:t xml:space="preserve">In preparation for trials, the firm maintains a well-structured and efficient time management system. Regular meetings are held in the conference room where ongoing cases are reviewed, new matters are assigned, and weekly cause lists are prepared. The firm also keeps a </w:t>
      </w:r>
      <w:r>
        <w:rPr>
          <w:rStyle w:val="17"/>
          <w:rFonts w:eastAsiaTheme="majorEastAsia"/>
        </w:rPr>
        <w:t>chambers diary</w:t>
      </w:r>
      <w:r>
        <w:t>, which serves as a reminder system for court dates, adjournments, and other activities. Each entry in the diary contains details such as the case name, suit number, presiding judge, assigned counsel, and the next hearing date.</w:t>
      </w:r>
    </w:p>
    <w:p w14:paraId="3EDD2DB5">
      <w:pPr>
        <w:pStyle w:val="13"/>
        <w:spacing w:line="360" w:lineRule="auto"/>
        <w:jc w:val="both"/>
      </w:pPr>
      <w:r>
        <w:t xml:space="preserve">The firm’s infrastructure is modern and designed for maximum efficiency. It occupies a </w:t>
      </w:r>
      <w:r>
        <w:rPr>
          <w:rStyle w:val="17"/>
          <w:rFonts w:eastAsiaTheme="majorEastAsia"/>
        </w:rPr>
        <w:t>duplex building</w:t>
      </w:r>
      <w:r>
        <w:t xml:space="preserve"> divided into </w:t>
      </w:r>
      <w:r>
        <w:rPr>
          <w:rStyle w:val="17"/>
          <w:rFonts w:eastAsiaTheme="majorEastAsia"/>
        </w:rPr>
        <w:t>11 rooms</w:t>
      </w:r>
      <w:r>
        <w:t xml:space="preserve">, including multiple offices, a large conference room, a well-equipped </w:t>
      </w:r>
      <w:r>
        <w:rPr>
          <w:rStyle w:val="17"/>
          <w:rFonts w:eastAsiaTheme="majorEastAsia"/>
        </w:rPr>
        <w:t>law library</w:t>
      </w:r>
      <w:r>
        <w:t xml:space="preserve">, a dining room, restrooms, and a kitchen. The firm is </w:t>
      </w:r>
      <w:r>
        <w:rPr>
          <w:rStyle w:val="17"/>
          <w:rFonts w:eastAsiaTheme="majorEastAsia"/>
        </w:rPr>
        <w:t>IT-compliant</w:t>
      </w:r>
      <w:r>
        <w:t xml:space="preserve">, with computers, printers, photocopiers, and wireless internet access available to all staff. The library is stocked with numerous </w:t>
      </w:r>
      <w:r>
        <w:rPr>
          <w:rStyle w:val="17"/>
          <w:rFonts w:eastAsiaTheme="majorEastAsia"/>
        </w:rPr>
        <w:t>law reports and legal textbooks</w:t>
      </w:r>
      <w:r>
        <w:t>, providing ample resources for research and case preparation.</w:t>
      </w:r>
    </w:p>
    <w:p w14:paraId="462F4D7F">
      <w:pPr>
        <w:pStyle w:val="13"/>
        <w:spacing w:line="360" w:lineRule="auto"/>
        <w:jc w:val="both"/>
      </w:pPr>
      <w:r>
        <w:t>The filing system is also well organized. Each case file is custom-made and labeled with the parties’ names for easy identification. The files are neatly arranged in large cabinets, with ribbons used to secure their contents.</w:t>
      </w:r>
    </w:p>
    <w:p w14:paraId="1FBCEBB0">
      <w:pPr>
        <w:pStyle w:val="13"/>
        <w:spacing w:line="360" w:lineRule="auto"/>
        <w:jc w:val="both"/>
      </w:pPr>
      <w:r>
        <w:t xml:space="preserve">In conclusion, the management and organization of </w:t>
      </w:r>
      <w:r>
        <w:rPr>
          <w:lang w:val="en-US"/>
        </w:rPr>
        <w:t xml:space="preserve"> Abdul</w:t>
      </w:r>
      <w:r>
        <w:rPr>
          <w:color w:val="000000" w:themeColor="text1"/>
          <w:lang w:val="en-US"/>
          <w14:textFill>
            <w14:solidFill>
              <w14:schemeClr w14:val="tx1"/>
            </w14:solidFill>
          </w14:textFill>
        </w:rPr>
        <w:t>aziz</w:t>
      </w:r>
      <w:r>
        <w:rPr>
          <w:rStyle w:val="17"/>
          <w:rFonts w:eastAsiaTheme="majorEastAsia"/>
        </w:rPr>
        <w:t xml:space="preserve"> &amp; Co</w:t>
      </w:r>
      <w:r>
        <w:t xml:space="preserve"> reflect the standards of a modern, well-run law firm. It serves as a model for other legal practices within the Federal </w:t>
      </w:r>
      <w:bookmarkStart w:id="0" w:name="_GoBack"/>
      <w:bookmarkEnd w:id="0"/>
      <w:r>
        <w:t>Capital Territory and across the nation.</w:t>
      </w:r>
    </w:p>
    <w:p w14:paraId="3D671F8B">
      <w:pPr>
        <w:spacing w:before="240" w:line="276" w:lineRule="auto"/>
        <w:jc w:val="both"/>
        <w:rPr>
          <w:rFonts w:ascii="Times New Roman" w:hAnsi="Times New Roman" w:cs="Times New Roman"/>
          <w:lang w:val="en-GB"/>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tos">
    <w:altName w:val="Calibri"/>
    <w:panose1 w:val="00000000000000000000"/>
    <w:charset w:val="00"/>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unhideWhenUsed/>
    <w:uiPriority w:val="1"/>
  </w:style>
  <w:style w:type="table" w:default="1" w:styleId="18">
    <w:name w:val="Normal Table"/>
    <w:unhideWhenUsed/>
    <w:uiPriority w:val="99"/>
    <w:tblPr>
      <w:tblLayout w:type="fixed"/>
      <w:tblCellMar>
        <w:top w:w="0" w:type="dxa"/>
        <w:left w:w="108" w:type="dxa"/>
        <w:bottom w:w="0" w:type="dxa"/>
        <w:right w:w="108" w:type="dxa"/>
      </w:tblCellMar>
    </w:tblPr>
  </w:style>
  <w:style w:type="paragraph" w:styleId="11">
    <w:name w:val="footer"/>
    <w:basedOn w:val="1"/>
    <w:link w:val="38"/>
    <w:unhideWhenUsed/>
    <w:uiPriority w:val="99"/>
    <w:pPr>
      <w:tabs>
        <w:tab w:val="center" w:pos="4513"/>
        <w:tab w:val="right" w:pos="9026"/>
      </w:tabs>
      <w:spacing w:after="0" w:line="240" w:lineRule="auto"/>
    </w:pPr>
  </w:style>
  <w:style w:type="paragraph" w:styleId="12">
    <w:name w:val="header"/>
    <w:basedOn w:val="1"/>
    <w:link w:val="37"/>
    <w:unhideWhenUsed/>
    <w:uiPriority w:val="99"/>
    <w:pPr>
      <w:tabs>
        <w:tab w:val="center" w:pos="4513"/>
        <w:tab w:val="right" w:pos="9026"/>
      </w:tabs>
      <w:spacing w:after="0" w:line="240" w:lineRule="auto"/>
    </w:p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paragraph" w:styleId="14">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7">
    <w:name w:val="Strong"/>
    <w:basedOn w:val="16"/>
    <w:qFormat/>
    <w:uiPriority w:val="22"/>
    <w:rPr>
      <w:b/>
      <w:bCs/>
    </w:rPr>
  </w:style>
  <w:style w:type="character" w:customStyle="1" w:styleId="19">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6"/>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6"/>
    <w:link w:val="4"/>
    <w:semiHidden/>
    <w:uiPriority w:val="9"/>
    <w:rPr>
      <w:rFonts w:eastAsiaTheme="majorEastAsia" w:cstheme="majorBidi"/>
      <w:color w:val="104862" w:themeColor="accent1" w:themeShade="BF"/>
      <w:sz w:val="28"/>
      <w:szCs w:val="28"/>
    </w:rPr>
  </w:style>
  <w:style w:type="character" w:customStyle="1" w:styleId="22">
    <w:name w:val="Heading 4 Char"/>
    <w:basedOn w:val="16"/>
    <w:link w:val="5"/>
    <w:semiHidden/>
    <w:uiPriority w:val="9"/>
    <w:rPr>
      <w:rFonts w:eastAsiaTheme="majorEastAsia" w:cstheme="majorBidi"/>
      <w:i/>
      <w:iCs/>
      <w:color w:val="104862" w:themeColor="accent1" w:themeShade="BF"/>
    </w:rPr>
  </w:style>
  <w:style w:type="character" w:customStyle="1" w:styleId="23">
    <w:name w:val="Heading 5 Char"/>
    <w:basedOn w:val="16"/>
    <w:link w:val="6"/>
    <w:semiHidden/>
    <w:uiPriority w:val="9"/>
    <w:rPr>
      <w:rFonts w:eastAsiaTheme="majorEastAsia" w:cstheme="majorBidi"/>
      <w:color w:val="104862" w:themeColor="accent1" w:themeShade="BF"/>
    </w:rPr>
  </w:style>
  <w:style w:type="character" w:customStyle="1" w:styleId="24">
    <w:name w:val="Heading 6 Char"/>
    <w:basedOn w:val="16"/>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6"/>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6"/>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6"/>
    <w:link w:val="15"/>
    <w:uiPriority w:val="10"/>
    <w:rPr>
      <w:rFonts w:asciiTheme="majorHAnsi" w:hAnsiTheme="majorHAnsi" w:eastAsiaTheme="majorEastAsia" w:cstheme="majorBidi"/>
      <w:spacing w:val="-10"/>
      <w:kern w:val="28"/>
      <w:sz w:val="56"/>
      <w:szCs w:val="56"/>
    </w:rPr>
  </w:style>
  <w:style w:type="character" w:customStyle="1" w:styleId="29">
    <w:name w:val="Subtitle Char"/>
    <w:basedOn w:val="16"/>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6"/>
    <w:link w:val="30"/>
    <w:uiPriority w:val="29"/>
    <w:rPr>
      <w:i/>
      <w:iCs/>
      <w:color w:val="404040" w:themeColor="text1" w:themeTint="BF"/>
      <w14:textFill>
        <w14:solidFill>
          <w14:schemeClr w14:val="tx1">
            <w14:lumMod w14:val="75000"/>
            <w14:lumOff w14:val="25000"/>
          </w14:schemeClr>
        </w14:solidFill>
      </w14:textFill>
    </w:rPr>
  </w:style>
  <w:style w:type="paragraph" w:customStyle="1"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customStyle="1"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6"/>
    <w:link w:val="34"/>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 w:type="character" w:customStyle="1" w:styleId="37">
    <w:name w:val="Header Char"/>
    <w:basedOn w:val="16"/>
    <w:link w:val="12"/>
    <w:uiPriority w:val="99"/>
  </w:style>
  <w:style w:type="character" w:customStyle="1" w:styleId="38">
    <w:name w:val="Footer Char"/>
    <w:basedOn w:val="16"/>
    <w:link w:val="11"/>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344</Words>
  <Characters>1967</Characters>
  <Lines>16</Lines>
  <Paragraphs>4</Paragraphs>
  <TotalTime>0</TotalTime>
  <ScaleCrop>false</ScaleCrop>
  <LinksUpToDate>false</LinksUpToDate>
  <CharactersWithSpaces>2307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Bifola Adam</dc:creator>
  <cp:lastModifiedBy>iPad</cp:lastModifiedBy>
  <dcterms:modified xsi:type="dcterms:W3CDTF">2025-10-24T12:56:31Z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B720621D82CF0CC28B68FB68AFA84E90_31</vt:lpwstr>
  </property>
  <property fmtid="{D5CDD505-2E9C-101B-9397-08002B2CF9AE}" pid="3" name="KSOProductBuildVer">
    <vt:lpwstr>3081-11.37.00</vt:lpwstr>
  </property>
</Properties>
</file>