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p>
    <w:p>
      <w:pPr>
        <w:pStyle w:val="style0"/>
        <w:spacing w:lineRule="auto" w:line="180"/>
        <w:jc w:val="center"/>
        <w:rPr>
          <w:b/>
          <w:bCs/>
        </w:rPr>
      </w:pPr>
      <w:r>
        <w:rPr>
          <w:b/>
          <w:bCs/>
        </w:rPr>
        <w:t>COUNCIL OF LEGAL EDUCATION</w:t>
      </w:r>
    </w:p>
    <w:p>
      <w:pPr>
        <w:pStyle w:val="style0"/>
        <w:spacing w:lineRule="auto" w:line="180"/>
        <w:jc w:val="center"/>
        <w:rPr>
          <w:b/>
          <w:bCs/>
        </w:rPr>
      </w:pPr>
      <w:r>
        <w:rPr>
          <w:b/>
          <w:bCs/>
        </w:rPr>
        <w:t>NIGERIAN LAW SCHOOL</w:t>
      </w:r>
    </w:p>
    <w:p>
      <w:pPr>
        <w:pStyle w:val="style0"/>
        <w:spacing w:lineRule="auto" w:line="180"/>
        <w:jc w:val="center"/>
        <w:rPr>
          <w:b/>
          <w:bCs/>
        </w:rPr>
      </w:pPr>
      <w:r>
        <w:rPr>
          <w:b/>
          <w:bCs/>
          <w:lang w:val="en-US"/>
        </w:rPr>
        <w:t>YENAGOA CAMPUS</w:t>
      </w:r>
    </w:p>
    <w:p>
      <w:pPr>
        <w:pStyle w:val="style0"/>
        <w:spacing w:lineRule="auto" w:line="180"/>
        <w:jc w:val="center"/>
        <w:rPr>
          <w:b/>
          <w:bCs/>
        </w:rPr>
      </w:pPr>
      <w:r>
        <w:rPr>
          <w:b/>
          <w:bCs/>
        </w:rPr>
        <w:t>2025/2026 ACADEMIC SESSION</w:t>
      </w:r>
    </w:p>
    <w:p>
      <w:pPr>
        <w:pStyle w:val="style0"/>
        <w:spacing w:lineRule="auto" w:line="180"/>
        <w:jc w:val="center"/>
        <w:rPr>
          <w:b/>
          <w:bCs/>
        </w:rPr>
      </w:pPr>
      <w:r>
        <w:rPr>
          <w:b/>
          <w:bCs/>
        </w:rPr>
        <w:t>PROPERTY LAW PRACTICE</w:t>
      </w:r>
    </w:p>
    <w:p>
      <w:pPr>
        <w:pStyle w:val="style0"/>
        <w:spacing w:lineRule="auto" w:line="180"/>
        <w:jc w:val="left"/>
        <w:rPr>
          <w:b/>
          <w:bCs/>
        </w:rPr>
      </w:pPr>
      <w:r>
        <w:rPr>
          <w:b/>
          <w:bCs/>
        </w:rPr>
        <w:t>PRE-CLASS TASKS</w:t>
      </w:r>
      <w:r>
        <w:rPr>
          <w:b/>
          <w:bCs/>
          <w:lang w:val="en-US"/>
        </w:rPr>
        <w:t xml:space="preserve"> &amp; LESSON PLAN FOR WEEK 4: DEEDS &amp; POWER OF ATTORNEY</w:t>
      </w:r>
    </w:p>
    <w:p>
      <w:pPr>
        <w:pStyle w:val="style0"/>
        <w:jc w:val="both"/>
        <w:rPr/>
      </w:pPr>
      <w:r>
        <w:t>Dr. Paul Maigari, of 16 Musa Avenue, Victoria Island, Lagos, Lagos State, has recently discovered that he has a terminal illness. To forestall unnecessary wrangling among his five children after his death, he has instructed Mr. Mako Wale, a legal practitioner, to draft a document containing the necessary instructions for the disposition and management of his properties to take effect after his death. Dr. Paul Maigari has appointed Mr. Ben Maigari (his first son), of 48 Okon Street, Surulere, Lagos, and Mrs. Ebi Preye (his confidential secretary), of 12 Okoro Street, Ikoyi, Lagos, to enforce his instructions regarding the management of his properties after his death. Mr. Mako Wale was paid N800,000 (Eight Hundred Thousand Naira) on account for preparing the document.</w:t>
      </w:r>
    </w:p>
    <w:p>
      <w:pPr>
        <w:pStyle w:val="style0"/>
        <w:jc w:val="both"/>
        <w:rPr/>
      </w:pPr>
      <w:r>
        <w:t>Meanwhile, Dr. Maigari’s wife, Madam Wingi Maigari, who owns several properties across Nigeria and overseas, has decided to raise funds to reposition her weave-on production and marketing business. She anticipates that her husband’s financial responsibilities will fall on her after his death. To this end, Madam Maigari has agreed to grant a term of ten years over her four-bedroom bungalow at 13 Preye Avenue, Enugu, Enugu State, registered as 66/66/2965, in favour of Pascal Enterprises of 56 Bello Street, Yola, Adamawa State, at an annual rent of N9 million, beginning 1st September 2025. The rent is subject to biennial review. Pascal Enterprises, managed by Grace Okafor and Bukki Wordu (the partners), intends to use the property as their business office. Although Madam Maigari is personally handling this transaction, she plans to appoint Chisa Biodun of Green Associates, an estate surveying firm located at 55 Duncan Avenue, Lagos Island, to represent her in the following transactions:</w:t>
      </w:r>
    </w:p>
    <w:p>
      <w:pPr>
        <w:pStyle w:val="style179"/>
        <w:numPr>
          <w:ilvl w:val="0"/>
          <w:numId w:val="1"/>
        </w:numPr>
        <w:jc w:val="both"/>
        <w:rPr/>
      </w:pPr>
      <w:r>
        <w:t>Transfer of the unexpired residue of her block of six flats at 55 Brendan Road, Obudu, Cross River State, covered by Certificate of Occupancy No. 444674 dated 09/09/2020 and registered as 78/78/804 at the Lands Registry, Calabar, Cross River State, to the University of Calabar, located along Gowon Road, Calabar, Cross River State, for N400 million.</w:t>
      </w:r>
    </w:p>
    <w:p>
      <w:pPr>
        <w:pStyle w:val="style179"/>
        <w:numPr>
          <w:ilvl w:val="0"/>
          <w:numId w:val="1"/>
        </w:numPr>
        <w:jc w:val="both"/>
        <w:rPr/>
      </w:pPr>
      <w:r>
        <w:t>Grant of a term of six years over her six-room bungalow at 65 Obasanjo Street, Ikoyi, Lagos, covered by Title No. LO275649, dated 25 April 2008, to Biodun Enterprises Ltd. of 34 Iyom Street, Ikeja, Lagos, at an annual rent of N15 million, with two years' rent payable in advance upon execution of the necessary conveyancing documents.</w:t>
      </w:r>
    </w:p>
    <w:p>
      <w:pPr>
        <w:pStyle w:val="style179"/>
        <w:numPr>
          <w:ilvl w:val="0"/>
          <w:numId w:val="1"/>
        </w:numPr>
        <w:jc w:val="both"/>
        <w:rPr/>
      </w:pPr>
      <w:r>
        <w:t>Grant of a term of two years over her two-winged duplex at 115 Edwin Clark Avenue, Asaba, Delta State, in favour of Mr. Diete Awon, an illiterate businessman of 87 Alhaji Street, Asaba, Delta State. (Madam Maigari inherited this house testate from her late mother, Mrs. Ada Udoh.)</w:t>
      </w:r>
    </w:p>
    <w:p>
      <w:pPr>
        <w:pStyle w:val="style179"/>
        <w:numPr>
          <w:ilvl w:val="0"/>
          <w:numId w:val="1"/>
        </w:numPr>
        <w:jc w:val="both"/>
        <w:rPr/>
      </w:pPr>
      <w:r>
        <w:t>Creation of a legal mortgage over her block of eight flats at 45 Adebola Crescent, Awka, Anambra State, in favour of Prolex Bank Plc., 27 Marina Street, Maitama, Abuja, to secure a loan of N700 million.</w:t>
      </w:r>
    </w:p>
    <w:p>
      <w:pPr>
        <w:pStyle w:val="style179"/>
        <w:numPr>
          <w:ilvl w:val="0"/>
          <w:numId w:val="1"/>
        </w:numPr>
        <w:jc w:val="both"/>
        <w:rPr/>
      </w:pPr>
      <w:r>
        <w:t>General management of her shopping mall at Trade Fair Complex, Ojo, Lagos, a warehouse at 15 Continental Drive, Maryland, Lagos, and her two houses at 18–19 Ribadu Street, Kano, Kano State.</w:t>
      </w:r>
    </w:p>
    <w:p>
      <w:pPr>
        <w:pStyle w:val="style0"/>
        <w:jc w:val="both"/>
        <w:rPr/>
      </w:pPr>
      <w:r>
        <w:t>ANSWER THE FOLLOWING QUESTIONS:</w:t>
      </w:r>
    </w:p>
    <w:p>
      <w:pPr>
        <w:pStyle w:val="style0"/>
        <w:jc w:val="both"/>
        <w:rPr/>
      </w:pPr>
      <w:r>
        <w:t>1. Mention the final document you would prepare in respect of the transaction over the property in Obudu, Cross River State. Give reasons for your answer.</w:t>
      </w:r>
    </w:p>
    <w:p>
      <w:pPr>
        <w:pStyle w:val="style0"/>
        <w:jc w:val="both"/>
        <w:rPr/>
      </w:pPr>
      <w:r>
        <w:t>2. List the particulars of instructions you would need to obtain from the parties to enable you to prepare the document referred to in (1) above.</w:t>
      </w:r>
    </w:p>
    <w:p>
      <w:pPr>
        <w:pStyle w:val="style0"/>
        <w:jc w:val="both"/>
        <w:rPr/>
      </w:pPr>
      <w:r>
        <w:t xml:space="preserve">3. Draft the document, assuming Madam Maigari is </w:t>
      </w:r>
      <w:r>
        <w:rPr>
          <w:lang w:val="en-US"/>
        </w:rPr>
        <w:t>an</w:t>
      </w:r>
      <w:r>
        <w:t xml:space="preserve"> illiterate. What difference would there be if Madam Maigari w</w:t>
      </w:r>
      <w:r>
        <w:rPr>
          <w:lang w:val="en-US"/>
        </w:rPr>
        <w:t>as</w:t>
      </w:r>
      <w:r>
        <w:t xml:space="preserve"> personally carrying out the sale transaction?</w:t>
      </w:r>
    </w:p>
    <w:p>
      <w:pPr>
        <w:pStyle w:val="style0"/>
        <w:jc w:val="both"/>
        <w:rPr/>
      </w:pPr>
      <w:r>
        <w:t>4. Mention the</w:t>
      </w:r>
      <w:r>
        <w:rPr>
          <w:lang w:val="en-US"/>
        </w:rPr>
        <w:t xml:space="preserve"> </w:t>
      </w:r>
      <w:r>
        <w:t xml:space="preserve">specific clauses or matters </w:t>
      </w:r>
      <w:r>
        <w:rPr>
          <w:lang w:val="en-US"/>
        </w:rPr>
        <w:t xml:space="preserve">you </w:t>
      </w:r>
      <w:r>
        <w:t>included in the introductory, operative, and concluding parts of the document you drafted in (3) above</w:t>
      </w:r>
      <w:r>
        <w:rPr>
          <w:lang w:val="en-US"/>
        </w:rPr>
        <w:t xml:space="preserve">, and your reason for their inclusion. </w:t>
      </w:r>
    </w:p>
    <w:p>
      <w:pPr>
        <w:pStyle w:val="style0"/>
        <w:jc w:val="both"/>
        <w:rPr/>
      </w:pPr>
      <w:r>
        <w:t>5. Mention the order of perfection of the grantee’s title concerning the property at Obudu, and list the consequences of failure to perfect  title.</w:t>
      </w:r>
    </w:p>
    <w:p>
      <w:pPr>
        <w:pStyle w:val="style0"/>
        <w:jc w:val="both"/>
        <w:rPr/>
      </w:pPr>
      <w:r>
        <w:t xml:space="preserve">6. Mention five property transactions that are required by law to be effected </w:t>
      </w:r>
      <w:r>
        <w:rPr>
          <w:lang w:val="en-US"/>
        </w:rPr>
        <w:t>by deed</w:t>
      </w:r>
      <w:r>
        <w:t xml:space="preserve"> and five instances when a deed is unnecessary </w:t>
      </w:r>
      <w:r>
        <w:rPr>
          <w:lang w:val="en-US"/>
        </w:rPr>
        <w:t xml:space="preserve">in transactions dealing with </w:t>
      </w:r>
      <w:r>
        <w:t>interest</w:t>
      </w:r>
      <w:r>
        <w:rPr>
          <w:lang w:val="en-US"/>
        </w:rPr>
        <w:t>s</w:t>
      </w:r>
      <w:r>
        <w:t xml:space="preserve"> in property.</w:t>
      </w:r>
    </w:p>
    <w:p>
      <w:pPr>
        <w:pStyle w:val="style0"/>
        <w:jc w:val="both"/>
        <w:rPr/>
      </w:pPr>
      <w:r>
        <w:rPr>
          <w:lang w:val="en-US"/>
        </w:rPr>
        <w:t>7</w:t>
      </w:r>
      <w:r>
        <w:t xml:space="preserve">. </w:t>
      </w:r>
      <w:r>
        <w:rPr>
          <w:lang w:val="en-US"/>
        </w:rPr>
        <w:t>As the solicitor acting on behalf of the University of Calabar or Prolex Bank PLC, will it be unethica</w:t>
      </w:r>
      <w:r>
        <w:t>l to advise your client to leave a deed undated? Comment on the effect of a</w:t>
      </w:r>
      <w:r>
        <w:rPr>
          <w:lang w:val="en-US"/>
        </w:rPr>
        <w:t xml:space="preserve">n </w:t>
      </w:r>
      <w:r>
        <w:t>undated</w:t>
      </w:r>
      <w:r>
        <w:rPr>
          <w:lang w:val="en-US"/>
        </w:rPr>
        <w:t xml:space="preserve"> deed.</w:t>
      </w:r>
    </w:p>
    <w:p>
      <w:pPr>
        <w:pStyle w:val="style0"/>
        <w:jc w:val="both"/>
        <w:rPr/>
      </w:pPr>
      <w:r>
        <w:rPr>
          <w:lang w:val="en-US"/>
        </w:rPr>
        <w:t>8</w:t>
      </w:r>
      <w:r>
        <w:t>. List the particulars of instructions a solicitor would need to obtain in order to draft the document forming the source of authority for Chisa Biodun to represent Madam Maigari in the transaction over the property in Obudu. Draft the document, and advise whether such authority can be given orally or to Green Associates Enterprises.</w:t>
      </w:r>
    </w:p>
    <w:p>
      <w:pPr>
        <w:pStyle w:val="style0"/>
        <w:jc w:val="both"/>
        <w:rPr/>
      </w:pPr>
      <w:r>
        <w:rPr>
          <w:lang w:val="en-US"/>
        </w:rPr>
        <w:t>9</w:t>
      </w:r>
      <w:r>
        <w:t>. What formalities would be desirable if the document you drafted in (</w:t>
      </w:r>
      <w:r>
        <w:rPr>
          <w:lang w:val="en-US"/>
        </w:rPr>
        <w:t>8</w:t>
      </w:r>
      <w:r>
        <w:t>) above were for use in Ghana?</w:t>
      </w:r>
    </w:p>
    <w:p>
      <w:pPr>
        <w:pStyle w:val="style0"/>
        <w:jc w:val="both"/>
        <w:rPr/>
      </w:pPr>
      <w:r>
        <w:rPr>
          <w:lang w:val="en-US"/>
        </w:rPr>
        <w:t>10</w:t>
      </w:r>
      <w:r>
        <w:t xml:space="preserve">. What is the effect of </w:t>
      </w:r>
      <w:r>
        <w:rPr>
          <w:lang w:val="en-US"/>
        </w:rPr>
        <w:t xml:space="preserve">a letter sent via </w:t>
      </w:r>
      <w:r>
        <w:t>email</w:t>
      </w:r>
      <w:r>
        <w:rPr>
          <w:lang w:val="en-US"/>
        </w:rPr>
        <w:t xml:space="preserve"> </w:t>
      </w:r>
      <w:r>
        <w:t>by Madam Maigari cancelling</w:t>
      </w:r>
      <w:r>
        <w:rPr>
          <w:lang w:val="en-US"/>
        </w:rPr>
        <w:t xml:space="preserve"> the authority vested on</w:t>
      </w:r>
      <w:r>
        <w:t xml:space="preserve"> Chisa Biodun</w:t>
      </w:r>
      <w:r>
        <w:rPr>
          <w:lang w:val="en-US"/>
        </w:rPr>
        <w:t xml:space="preserve"> by</w:t>
      </w:r>
      <w:r>
        <w:t xml:space="preserve"> the document drafted in (</w:t>
      </w:r>
      <w:r>
        <w:rPr>
          <w:lang w:val="en-US"/>
        </w:rPr>
        <w:t>8</w:t>
      </w:r>
      <w:r>
        <w:t>) above?</w:t>
      </w:r>
    </w:p>
    <w:p>
      <w:pPr>
        <w:pStyle w:val="style0"/>
        <w:jc w:val="both"/>
        <w:rPr/>
      </w:pPr>
      <w:r>
        <w:t>1</w:t>
      </w:r>
      <w:r>
        <w:rPr>
          <w:lang w:val="en-US"/>
        </w:rPr>
        <w:t>1</w:t>
      </w:r>
      <w:r>
        <w:t xml:space="preserve">. Advise the University of Calabar on </w:t>
      </w:r>
      <w:r>
        <w:rPr>
          <w:lang w:val="en-US"/>
        </w:rPr>
        <w:t xml:space="preserve">the </w:t>
      </w:r>
      <w:r>
        <w:t>relevant precautionary measure</w:t>
      </w:r>
      <w:r>
        <w:rPr>
          <w:lang w:val="en-US"/>
        </w:rPr>
        <w:t>(</w:t>
      </w:r>
      <w:r>
        <w:t>s</w:t>
      </w:r>
      <w:r>
        <w:rPr>
          <w:lang w:val="en-US"/>
        </w:rPr>
        <w:t>) if any, that</w:t>
      </w:r>
      <w:r>
        <w:t xml:space="preserve"> they should take in view of the fact that they are not dealing directly with the owner.</w:t>
      </w:r>
    </w:p>
    <w:p>
      <w:pPr>
        <w:pStyle w:val="style0"/>
        <w:jc w:val="both"/>
        <w:rPr/>
      </w:pPr>
      <w:r>
        <w:t>1</w:t>
      </w:r>
      <w:r>
        <w:rPr>
          <w:lang w:val="en-US"/>
        </w:rPr>
        <w:t>2</w:t>
      </w:r>
      <w:r>
        <w:t>. What would be the effect on the transaction over the property at Obudu</w:t>
      </w:r>
      <w:r>
        <w:rPr>
          <w:lang w:val="en-US"/>
        </w:rPr>
        <w:t>,</w:t>
      </w:r>
      <w:r>
        <w:t xml:space="preserve"> if Madam Maigari died on the eve of signing the initial  document?</w:t>
      </w:r>
    </w:p>
    <w:p>
      <w:pPr>
        <w:pStyle w:val="style0"/>
        <w:jc w:val="both"/>
        <w:rPr/>
      </w:pPr>
      <w:r>
        <w:t>1</w:t>
      </w:r>
      <w:r>
        <w:rPr>
          <w:lang w:val="en-US"/>
        </w:rPr>
        <w:t>3</w:t>
      </w:r>
      <w:r>
        <w:t>. Advise on relevant variations in drafting the document referred to in (</w:t>
      </w:r>
      <w:r>
        <w:rPr>
          <w:lang w:val="en-US"/>
        </w:rPr>
        <w:t>8</w:t>
      </w:r>
      <w:r>
        <w:t>) above, assuming the property in Obudu belonged not to Madam Maigari, but to the Maigari extended family headed by Junep Maigari with Dr. Paul Maigari as the principal member.</w:t>
      </w:r>
    </w:p>
    <w:p>
      <w:pPr>
        <w:pStyle w:val="style0"/>
        <w:jc w:val="both"/>
        <w:rPr/>
      </w:pPr>
      <w:r>
        <w:t>1</w:t>
      </w:r>
      <w:r>
        <w:rPr>
          <w:lang w:val="en-US"/>
        </w:rPr>
        <w:t>4</w:t>
      </w:r>
      <w:r>
        <w:t>. Does the document referred to in (</w:t>
      </w:r>
      <w:r>
        <w:rPr>
          <w:lang w:val="en-US"/>
        </w:rPr>
        <w:t>8</w:t>
      </w:r>
      <w:r>
        <w:t>) require registration or the consent of the governor for its validity?</w:t>
      </w:r>
    </w:p>
    <w:p>
      <w:pPr>
        <w:pStyle w:val="style0"/>
        <w:jc w:val="both"/>
        <w:rPr/>
      </w:pPr>
      <w:r>
        <w:rPr>
          <w:b/>
          <w:bCs/>
          <w:lang w:val="en-US"/>
        </w:rPr>
        <w:t>INSTRUCTIONS</w:t>
      </w:r>
      <w:r>
        <w:rPr>
          <w:lang w:val="en-US"/>
        </w:rPr>
        <w:t xml:space="preserve">: </w:t>
      </w:r>
    </w:p>
    <w:p>
      <w:pPr>
        <w:pStyle w:val="style179"/>
        <w:numPr>
          <w:ilvl w:val="0"/>
          <w:numId w:val="2"/>
        </w:numPr>
        <w:jc w:val="both"/>
        <w:rPr/>
      </w:pPr>
      <w:r>
        <w:rPr>
          <w:lang w:val="en-US"/>
        </w:rPr>
        <w:t xml:space="preserve">Students to consider all questions in groups. Noted: </w:t>
      </w:r>
      <w:r>
        <w:rPr>
          <w:highlight w:val="yellow"/>
          <w:lang w:val="en-US"/>
        </w:rPr>
        <w:t xml:space="preserve">ANY student </w:t>
      </w:r>
      <w:r>
        <w:rPr>
          <w:lang w:val="en-US"/>
        </w:rPr>
        <w:t xml:space="preserve">can be called on to answer any of the questions above </w:t>
      </w:r>
    </w:p>
    <w:p>
      <w:pPr>
        <w:pStyle w:val="style179"/>
        <w:numPr>
          <w:ilvl w:val="0"/>
          <w:numId w:val="2"/>
        </w:numPr>
        <w:jc w:val="both"/>
        <w:rPr/>
      </w:pPr>
      <w:r>
        <w:rPr>
          <w:lang w:val="en-US"/>
        </w:rPr>
        <w:t>Each Group to submit hard copy (typed) of their answers before 9.00am on 29 April 2025.</w:t>
      </w:r>
    </w:p>
    <w:p>
      <w:pPr>
        <w:pStyle w:val="style179"/>
        <w:numPr>
          <w:ilvl w:val="0"/>
          <w:numId w:val="2"/>
        </w:numPr>
        <w:jc w:val="both"/>
        <w:rPr/>
      </w:pPr>
      <w:r>
        <w:rPr>
          <w:lang w:val="en-US"/>
        </w:rPr>
        <w:t xml:space="preserve">All student must study these two topics thoroughly before coming to the class: (1) Deeds and (2) Power of Attorney. </w:t>
      </w:r>
    </w:p>
    <w:p>
      <w:pPr>
        <w:pStyle w:val="style0"/>
        <w:jc w:val="both"/>
        <w:rPr/>
      </w:pPr>
    </w:p>
    <w:p>
      <w:pPr>
        <w:pStyle w:val="style0"/>
        <w:jc w:val="both"/>
        <w:rPr>
          <w:b/>
          <w:bCs/>
          <w:sz w:val="32"/>
          <w:szCs w:val="32"/>
        </w:rPr>
      </w:pPr>
      <w:r>
        <w:rPr>
          <w:b/>
          <w:bCs/>
          <w:sz w:val="32"/>
          <w:szCs w:val="32"/>
          <w:lang w:val="en-US"/>
        </w:rPr>
        <w:t xml:space="preserve">LESSON PLAN </w:t>
      </w:r>
    </w:p>
    <w:p>
      <w:pPr>
        <w:pStyle w:val="style0"/>
        <w:jc w:val="both"/>
        <w:rPr>
          <w:b/>
          <w:bCs/>
        </w:rPr>
      </w:pPr>
    </w:p>
    <w:p>
      <w:pPr>
        <w:pStyle w:val="style0"/>
        <w:jc w:val="both"/>
        <w:rPr/>
      </w:pPr>
      <w:r>
        <w:rPr>
          <w:b/>
          <w:bCs/>
          <w:lang w:val="en-US"/>
        </w:rPr>
        <w:t>Outcomes</w:t>
      </w:r>
      <w:r>
        <w:rPr>
          <w:lang w:val="en-US"/>
        </w:rPr>
        <w:t>:</w:t>
      </w:r>
    </w:p>
    <w:p>
      <w:pPr>
        <w:pStyle w:val="style0"/>
        <w:jc w:val="both"/>
        <w:rPr/>
      </w:pPr>
      <w:r>
        <w:rPr>
          <w:lang w:val="en-US"/>
        </w:rPr>
        <w:t>At the end of the lesson, students would be able to:</w:t>
      </w:r>
    </w:p>
    <w:p>
      <w:pPr>
        <w:pStyle w:val="style0"/>
        <w:jc w:val="both"/>
        <w:rPr/>
      </w:pPr>
      <w:r>
        <w:rPr>
          <w:lang w:val="en-US"/>
        </w:rPr>
        <w:t>State the features of a deed</w:t>
      </w:r>
    </w:p>
    <w:p>
      <w:pPr>
        <w:pStyle w:val="style0"/>
        <w:jc w:val="both"/>
        <w:rPr/>
      </w:pPr>
      <w:r>
        <w:rPr>
          <w:lang w:val="en-US"/>
        </w:rPr>
        <w:t>Identify when a deed is required in a transaction affecting land, and when it is not mandatory</w:t>
      </w:r>
    </w:p>
    <w:p>
      <w:pPr>
        <w:pStyle w:val="style0"/>
        <w:jc w:val="both"/>
        <w:rPr/>
      </w:pPr>
      <w:r>
        <w:rPr>
          <w:lang w:val="en-US"/>
        </w:rPr>
        <w:t>Identify the various parts and contents of a deed of conveyance.</w:t>
      </w:r>
    </w:p>
    <w:p>
      <w:pPr>
        <w:pStyle w:val="style0"/>
        <w:jc w:val="both"/>
        <w:rPr/>
      </w:pPr>
      <w:r>
        <w:rPr>
          <w:lang w:val="en-US"/>
        </w:rPr>
        <w:t>Identify the use of a deed of rectification</w:t>
      </w:r>
    </w:p>
    <w:p>
      <w:pPr>
        <w:pStyle w:val="style0"/>
        <w:jc w:val="both"/>
        <w:rPr/>
      </w:pPr>
      <w:r>
        <w:rPr>
          <w:lang w:val="en-US"/>
        </w:rPr>
        <w:t>Identify the features of a power of attorney and state the types of Power of Attorney.</w:t>
      </w:r>
    </w:p>
    <w:p>
      <w:pPr>
        <w:pStyle w:val="style0"/>
        <w:jc w:val="both"/>
        <w:rPr/>
      </w:pPr>
      <w:r>
        <w:rPr>
          <w:lang w:val="en-US"/>
        </w:rPr>
        <w:t>Distinguish a power of attorney from other documents affecting land transactions (contracts and conveyances).</w:t>
      </w:r>
    </w:p>
    <w:p>
      <w:pPr>
        <w:pStyle w:val="style0"/>
        <w:jc w:val="both"/>
        <w:rPr/>
      </w:pPr>
      <w:r>
        <w:rPr>
          <w:lang w:val="en-US"/>
        </w:rPr>
        <w:t>Explain the importance and need for power of attorney</w:t>
      </w:r>
    </w:p>
    <w:p>
      <w:pPr>
        <w:pStyle w:val="style0"/>
        <w:jc w:val="both"/>
        <w:rPr/>
      </w:pPr>
      <w:r>
        <w:rPr>
          <w:lang w:val="en-US"/>
        </w:rPr>
        <w:t>Explain the parts of a power of attorney</w:t>
      </w:r>
    </w:p>
    <w:p>
      <w:pPr>
        <w:pStyle w:val="style0"/>
        <w:jc w:val="both"/>
        <w:rPr/>
      </w:pPr>
      <w:r>
        <w:rPr>
          <w:lang w:val="en-US"/>
        </w:rPr>
        <w:t>Advise on the execution of a power of attorney</w:t>
      </w:r>
    </w:p>
    <w:p>
      <w:pPr>
        <w:pStyle w:val="style0"/>
        <w:jc w:val="both"/>
        <w:rPr/>
      </w:pPr>
      <w:r>
        <w:rPr>
          <w:lang w:val="en-US"/>
        </w:rPr>
        <w:t>Draft a deed  and a power of attorney to meet professional standard.</w:t>
      </w:r>
    </w:p>
    <w:p>
      <w:pPr>
        <w:pStyle w:val="style0"/>
        <w:jc w:val="both"/>
        <w:rPr>
          <w:b/>
          <w:bCs/>
        </w:rPr>
      </w:pPr>
      <w:r>
        <w:rPr>
          <w:b/>
          <w:bCs/>
          <w:lang w:val="en-US"/>
        </w:rPr>
        <w:t>Contents</w:t>
      </w:r>
    </w:p>
    <w:p>
      <w:pPr>
        <w:pStyle w:val="style0"/>
        <w:jc w:val="both"/>
        <w:rPr/>
      </w:pPr>
      <w:r>
        <w:rPr>
          <w:lang w:val="en-US"/>
        </w:rPr>
        <w:t>1. Features of a deed</w:t>
      </w:r>
    </w:p>
    <w:p>
      <w:pPr>
        <w:pStyle w:val="style0"/>
        <w:jc w:val="both"/>
        <w:rPr/>
      </w:pPr>
      <w:r>
        <w:rPr>
          <w:lang w:val="en-US"/>
        </w:rPr>
        <w:t>2. When a Deed is required and when it is not</w:t>
      </w:r>
    </w:p>
    <w:p>
      <w:pPr>
        <w:pStyle w:val="style0"/>
        <w:jc w:val="both"/>
        <w:rPr/>
      </w:pPr>
      <w:r>
        <w:rPr>
          <w:lang w:val="en-US"/>
        </w:rPr>
        <w:t>3. Form and content of a deed</w:t>
      </w:r>
    </w:p>
    <w:p>
      <w:pPr>
        <w:pStyle w:val="style0"/>
        <w:jc w:val="both"/>
        <w:rPr/>
      </w:pPr>
      <w:r>
        <w:rPr>
          <w:lang w:val="en-US"/>
        </w:rPr>
        <w:t>4. Meaning and features of power of attorney</w:t>
      </w:r>
    </w:p>
    <w:p>
      <w:pPr>
        <w:pStyle w:val="style0"/>
        <w:jc w:val="both"/>
        <w:rPr/>
      </w:pPr>
      <w:r>
        <w:rPr>
          <w:lang w:val="en-US"/>
        </w:rPr>
        <w:t>5. When power of attorney is required and when it is not</w:t>
      </w:r>
    </w:p>
    <w:p>
      <w:pPr>
        <w:pStyle w:val="style0"/>
        <w:jc w:val="both"/>
        <w:rPr/>
      </w:pPr>
      <w:r>
        <w:rPr>
          <w:lang w:val="en-US"/>
        </w:rPr>
        <w:t>6. Distinction</w:t>
        <w:tab/>
        <w:t>between</w:t>
        <w:tab/>
        <w:t>power</w:t>
        <w:tab/>
        <w:t>of</w:t>
        <w:tab/>
        <w:t>attorney and conveyance</w:t>
      </w:r>
    </w:p>
    <w:p>
      <w:pPr>
        <w:pStyle w:val="style0"/>
        <w:jc w:val="both"/>
        <w:rPr/>
      </w:pPr>
      <w:r>
        <w:rPr>
          <w:lang w:val="en-US"/>
        </w:rPr>
        <w:t>7. Mention types of Power of Attorney.</w:t>
      </w:r>
    </w:p>
    <w:p>
      <w:pPr>
        <w:pStyle w:val="style0"/>
        <w:jc w:val="both"/>
        <w:rPr/>
      </w:pPr>
      <w:r>
        <w:rPr>
          <w:lang w:val="en-US"/>
        </w:rPr>
        <w:t>8. Draft a deed and power of attorney</w:t>
      </w:r>
    </w:p>
    <w:p>
      <w:pPr>
        <w:pStyle w:val="style0"/>
        <w:jc w:val="both"/>
        <w:rPr/>
      </w:pPr>
      <w:r>
        <w:rPr>
          <w:lang w:val="en-US"/>
        </w:rPr>
        <w:t>9. Consideration of ethical issues</w:t>
      </w:r>
    </w:p>
    <w:p>
      <w:pPr>
        <w:pStyle w:val="style0"/>
        <w:jc w:val="both"/>
        <w:rPr/>
      </w:pPr>
      <w:r>
        <w:rPr>
          <w:b/>
          <w:bCs/>
          <w:lang w:val="en-US"/>
        </w:rPr>
        <w:t>Pre-Class Activities</w:t>
      </w:r>
    </w:p>
    <w:p>
      <w:pPr>
        <w:pStyle w:val="style0"/>
        <w:jc w:val="both"/>
        <w:rPr/>
      </w:pPr>
      <w:r>
        <w:rPr>
          <w:lang w:val="en-US"/>
        </w:rPr>
        <w:t>1. Read the topic in advance.</w:t>
      </w:r>
    </w:p>
    <w:p>
      <w:pPr>
        <w:pStyle w:val="style0"/>
        <w:jc w:val="both"/>
        <w:rPr/>
      </w:pPr>
      <w:r>
        <w:rPr>
          <w:lang w:val="en-US"/>
        </w:rPr>
        <w:t>2. Attempt the Pre- class Tasks above.</w:t>
      </w:r>
    </w:p>
    <w:p>
      <w:pPr>
        <w:pStyle w:val="style0"/>
        <w:jc w:val="both"/>
        <w:rPr/>
      </w:pPr>
      <w:r>
        <w:rPr>
          <w:lang w:val="en-US"/>
        </w:rPr>
        <w:t>3. Students would be required to identify (common, structural and textual) parts of a deed.</w:t>
      </w:r>
    </w:p>
    <w:p>
      <w:pPr>
        <w:pStyle w:val="style0"/>
        <w:jc w:val="both"/>
        <w:rPr/>
      </w:pPr>
      <w:r>
        <w:rPr>
          <w:lang w:val="en-US"/>
        </w:rPr>
        <w:t>4. Students are required to study the following cases: Abina v Farhat; Ude</w:t>
        <w:tab/>
        <w:t>v. Nwara (1993) 2 NWLR (Pt.278) 638; Chime v. Chime (1995) 6 NWLR (Pt. 404) 734; Ezeigwe v. Awudu (2008)11 NWLR (Pt.107)158; Benjamin v. Kalio (2018) 15 NWLR (Pt. 1641) 38; Abdullahi v. Adetutu (2020) 3 NWLR (Pt. 1711) 338; Taan v. SCOA (Nig.) Plc (2025) 6 NWLR (Pt. 1985) 1.</w:t>
      </w:r>
    </w:p>
    <w:p>
      <w:pPr>
        <w:pStyle w:val="style0"/>
        <w:jc w:val="both"/>
        <w:rPr/>
      </w:pPr>
    </w:p>
    <w:p>
      <w:pPr>
        <w:pStyle w:val="style0"/>
        <w:jc w:val="both"/>
        <w:rPr/>
      </w:pPr>
    </w:p>
    <w:p>
      <w:pPr>
        <w:pStyle w:val="style0"/>
        <w:jc w:val="both"/>
        <w:rPr>
          <w:b/>
          <w:bCs/>
        </w:rPr>
      </w:pPr>
      <w:r>
        <w:rPr>
          <w:b/>
          <w:bCs/>
          <w:lang w:val="en-US"/>
        </w:rPr>
        <w:t>Class Activities</w:t>
      </w:r>
    </w:p>
    <w:p>
      <w:pPr>
        <w:pStyle w:val="style0"/>
        <w:jc w:val="both"/>
        <w:rPr/>
      </w:pPr>
      <w:r>
        <w:rPr>
          <w:lang w:val="en-US"/>
        </w:rPr>
        <w:t>Tutor presents an overview of features of a deed, instances where a deed is mandatorily required, and when it is not necessary in land transactions - 55 minutes</w:t>
      </w:r>
    </w:p>
    <w:p>
      <w:pPr>
        <w:pStyle w:val="style0"/>
        <w:jc w:val="both"/>
        <w:rPr/>
      </w:pPr>
      <w:r>
        <w:rPr>
          <w:lang w:val="en-US"/>
        </w:rPr>
        <w:t>Students to discuss and list features of a deed-10 minutes</w:t>
      </w:r>
    </w:p>
    <w:p>
      <w:pPr>
        <w:pStyle w:val="style0"/>
        <w:jc w:val="both"/>
        <w:rPr/>
      </w:pPr>
      <w:r>
        <w:rPr>
          <w:lang w:val="en-US"/>
        </w:rPr>
        <w:t>Students to make a list of various transactions that require a deed and those that do not need a deed. - 10 minutes</w:t>
      </w:r>
    </w:p>
    <w:p>
      <w:pPr>
        <w:pStyle w:val="style0"/>
        <w:jc w:val="both"/>
        <w:rPr/>
      </w:pPr>
      <w:r>
        <w:rPr>
          <w:lang w:val="en-US"/>
        </w:rPr>
        <w:t>Tutor to give an overview of the contents of a deed of assignment – 10 minutes</w:t>
      </w:r>
    </w:p>
    <w:p>
      <w:pPr>
        <w:pStyle w:val="style0"/>
        <w:jc w:val="both"/>
        <w:rPr/>
      </w:pPr>
      <w:r>
        <w:rPr>
          <w:lang w:val="en-US"/>
        </w:rPr>
        <w:t>Students to discuss and list the various parts of a deed of assignment – 15 minutes.</w:t>
      </w:r>
    </w:p>
    <w:p>
      <w:pPr>
        <w:pStyle w:val="style0"/>
        <w:jc w:val="both"/>
        <w:rPr/>
      </w:pPr>
      <w:r>
        <w:rPr>
          <w:lang w:val="en-US"/>
        </w:rPr>
        <w:t>Group presentation of the list of parts of a deed of assignment – 20 minutes.</w:t>
      </w:r>
    </w:p>
    <w:p>
      <w:pPr>
        <w:pStyle w:val="style0"/>
        <w:jc w:val="both"/>
        <w:rPr>
          <w:b/>
          <w:bCs/>
        </w:rPr>
      </w:pPr>
      <w:r>
        <w:rPr>
          <w:b/>
          <w:bCs/>
          <w:lang w:val="en-US"/>
        </w:rPr>
        <w:t>30 Minutes Break</w:t>
      </w:r>
    </w:p>
    <w:p>
      <w:pPr>
        <w:pStyle w:val="style0"/>
        <w:jc w:val="both"/>
        <w:rPr/>
      </w:pPr>
      <w:r>
        <w:rPr>
          <w:lang w:val="en-US"/>
        </w:rPr>
        <w:t>The tutor gives an overview of the features of a power of attorney, the distinction between a power of attorney and a Conveyance, the contract of sale of land, the mode of creation, and the types of power of attorney. - 40 minutes.</w:t>
      </w:r>
    </w:p>
    <w:p>
      <w:pPr>
        <w:pStyle w:val="style0"/>
        <w:jc w:val="both"/>
        <w:rPr/>
      </w:pPr>
      <w:r>
        <w:rPr>
          <w:lang w:val="en-US"/>
        </w:rPr>
        <w:t>Students discuss and list the features of a power of attorney, distinguishing it from other documents of transfer, when it is required, and ethical issues that may arise from instructions to draft a power of attorney for -15 minutes.</w:t>
      </w:r>
    </w:p>
    <w:p>
      <w:pPr>
        <w:pStyle w:val="style0"/>
        <w:jc w:val="both"/>
        <w:rPr/>
      </w:pPr>
      <w:r>
        <w:rPr>
          <w:lang w:val="en-US"/>
        </w:rPr>
        <w:t>Students group to present the above points discussed in their groups- 15 minutes.</w:t>
      </w:r>
    </w:p>
    <w:p>
      <w:pPr>
        <w:pStyle w:val="style0"/>
        <w:jc w:val="both"/>
        <w:rPr/>
      </w:pPr>
      <w:r>
        <w:rPr>
          <w:lang w:val="en-US"/>
        </w:rPr>
        <w:t>General group discussion on types of power of attorney, and revocation of power of attorney (and when power of attorney is irrevocable) - 10 minutes</w:t>
      </w:r>
    </w:p>
    <w:p>
      <w:pPr>
        <w:pStyle w:val="style0"/>
        <w:jc w:val="both"/>
        <w:rPr/>
      </w:pPr>
      <w:r>
        <w:rPr>
          <w:lang w:val="en-US"/>
        </w:rPr>
        <w:t>Group presentation on types, revocation of power of attorney, and when power of attorney is irrevocable – 25 minutes.</w:t>
      </w:r>
    </w:p>
    <w:p>
      <w:pPr>
        <w:pStyle w:val="style0"/>
        <w:jc w:val="both"/>
        <w:rPr/>
      </w:pPr>
      <w:r>
        <w:rPr>
          <w:lang w:val="en-US"/>
        </w:rPr>
        <w:t>Assessment and Evaluation – 15 minutes.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1557</Words>
  <Characters>7671</Characters>
  <Application>WPS Office</Application>
  <Paragraphs>80</Paragraphs>
  <CharactersWithSpaces>9166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2025-04-26T21:31:20Z</dcterms:created>
  <dc:creator>Infinix X6710</dc:creator>
  <lastModifiedBy>TECNO CD8j</lastModifiedBy>
  <dcterms:modified xsi:type="dcterms:W3CDTF">2025-04-27T08:12:53Z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5a0830dc135644b08195621798f5adb5</vt:lpwstr>
  </property>
</Properties>
</file>