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spacing w:lineRule="auto" w:line="240"/>
        <w:jc w:val="center"/>
        <w:rPr>
          <w:color w:val="000000"/>
          <w:sz w:val="28"/>
          <w:szCs w:val="28"/>
          <w:highlight w:val="none"/>
        </w:rPr>
      </w:pPr>
      <w:r>
        <w:rPr>
          <w:color w:val="000000"/>
          <w:sz w:val="28"/>
          <w:szCs w:val="28"/>
          <w:highlight w:val="none"/>
          <w:lang w:val="en-US"/>
        </w:rPr>
        <w:t>Nigerian Law School</w:t>
      </w:r>
      <w:r>
        <w:rPr>
          <w:color w:val="000000"/>
          <w:sz w:val="28"/>
          <w:szCs w:val="28"/>
          <w:highlight w:val="none"/>
        </w:rPr>
        <w:br/>
      </w:r>
      <w:r>
        <w:rPr>
          <w:color w:val="000000"/>
          <w:sz w:val="28"/>
          <w:szCs w:val="28"/>
          <w:highlight w:val="none"/>
          <w:lang w:val="en-US"/>
        </w:rPr>
        <w:t>2024/2025 Session (Regular)</w:t>
      </w:r>
      <w:r>
        <w:rPr>
          <w:color w:val="000000"/>
          <w:sz w:val="28"/>
          <w:szCs w:val="28"/>
          <w:highlight w:val="none"/>
        </w:rPr>
        <w:br/>
      </w:r>
      <w:r>
        <w:rPr>
          <w:color w:val="000000"/>
          <w:sz w:val="28"/>
          <w:szCs w:val="28"/>
          <w:highlight w:val="none"/>
        </w:rPr>
        <w:t>Civil Litigation Department</w:t>
      </w:r>
      <w:r>
        <w:rPr>
          <w:color w:val="000000"/>
          <w:sz w:val="28"/>
          <w:szCs w:val="28"/>
          <w:highlight w:val="none"/>
        </w:rPr>
        <w:br/>
      </w:r>
      <w:r>
        <w:rPr>
          <w:color w:val="000000"/>
          <w:sz w:val="28"/>
          <w:szCs w:val="28"/>
          <w:highlight w:val="none"/>
        </w:rPr>
        <w:t>Week 8: Summary Judgment Procedure</w:t>
      </w:r>
      <w:r>
        <w:rPr>
          <w:color w:val="000000"/>
          <w:sz w:val="28"/>
          <w:szCs w:val="28"/>
          <w:highlight w:val="none"/>
        </w:rPr>
        <w:br/>
      </w:r>
      <w:r>
        <w:rPr>
          <w:color w:val="000000"/>
          <w:sz w:val="28"/>
          <w:szCs w:val="28"/>
          <w:highlight w:val="none"/>
        </w:rPr>
        <w:t>Pre-Class Tasks for 29 May 2025</w:t>
      </w:r>
    </w:p>
    <w:p>
      <w:pPr>
        <w:pStyle w:val="style0"/>
        <w:numPr>
          <w:ilvl w:val="0"/>
          <w:numId w:val="0"/>
        </w:numPr>
        <w:spacing w:lineRule="auto" w:line="240"/>
        <w:jc w:val="center"/>
        <w:rPr>
          <w:color w:val="000000"/>
          <w:sz w:val="28"/>
          <w:szCs w:val="28"/>
          <w:highlight w:val="none"/>
        </w:rPr>
      </w:pPr>
    </w:p>
    <w:p>
      <w:pPr>
        <w:pStyle w:val="style0"/>
        <w:spacing w:lineRule="auto" w:line="240"/>
        <w:jc w:val="both"/>
        <w:rPr>
          <w:color w:val="000000"/>
          <w:sz w:val="28"/>
          <w:szCs w:val="28"/>
        </w:rPr>
      </w:pPr>
      <w:r>
        <w:rPr>
          <w:color w:val="000000"/>
          <w:sz w:val="28"/>
          <w:szCs w:val="28"/>
        </w:rPr>
        <w:t>The Federal Ministry of Transport launched a Mass Transit Scheme for the Federal Capital Territory, Abuja. On 11 January 2025, it signed an agreement with Brenda Importers Limited (BIL), Lagos, for the supply of 100 Toyota Hiace Coaster buses within one month, at a unit price of N60 million. Payment terms included an initial deposit of N3 billion (50%) payable by 12 January 2025, with the balance due within one month after the completion of supply. The delivery deadline was 28 February 2025. BIL delivered all the buses on 27 February 2025.</w:t>
      </w:r>
      <w:r>
        <w:rPr>
          <w:color w:val="000000"/>
          <w:sz w:val="28"/>
          <w:szCs w:val="28"/>
        </w:rPr>
        <w:br/>
      </w:r>
      <w:r>
        <w:rPr>
          <w:color w:val="000000"/>
          <w:sz w:val="28"/>
          <w:szCs w:val="28"/>
        </w:rPr>
        <w:br/>
      </w:r>
      <w:r>
        <w:rPr>
          <w:color w:val="000000"/>
          <w:sz w:val="28"/>
          <w:szCs w:val="28"/>
        </w:rPr>
        <w:t>However, the Ministry defaulted on the payment of the outstanding balance. BIL sent multiple demand letters, but the Ministry neither responded nor made any payment. On 28 April 2025, BIL engaged a lawyer, Asemota Leopart, Esq., to file an action at the High Court of the Federal Capital Territory. The lawyer has completed all necessary preliminary steps and is now ready to file the action.</w:t>
      </w:r>
    </w:p>
    <w:p>
      <w:pPr>
        <w:pStyle w:val="style0"/>
        <w:spacing w:lineRule="auto" w:line="240"/>
        <w:jc w:val="both"/>
        <w:rPr>
          <w:color w:val="000000"/>
          <w:sz w:val="28"/>
          <w:szCs w:val="28"/>
        </w:rPr>
      </w:pPr>
      <w:r>
        <w:rPr>
          <w:color w:val="000000"/>
          <w:sz w:val="28"/>
          <w:szCs w:val="28"/>
        </w:rPr>
        <w:t>1. Identify the fastest mode available for BIL to recover the outstanding debt</w:t>
      </w:r>
      <w:r>
        <w:rPr>
          <w:color w:val="000000"/>
          <w:sz w:val="28"/>
          <w:szCs w:val="28"/>
          <w:lang w:val="en-US"/>
        </w:rPr>
        <w:t xml:space="preserve"> in court, without full trial in Court</w:t>
      </w:r>
      <w:r>
        <w:rPr>
          <w:color w:val="000000"/>
          <w:sz w:val="28"/>
          <w:szCs w:val="28"/>
        </w:rPr>
        <w:t>. Explain why this method is the</w:t>
      </w:r>
      <w:r>
        <w:rPr>
          <w:color w:val="000000"/>
          <w:sz w:val="28"/>
          <w:szCs w:val="28"/>
          <w:lang w:val="en-US"/>
        </w:rPr>
        <w:t xml:space="preserve"> fastest and the</w:t>
      </w:r>
      <w:r>
        <w:rPr>
          <w:color w:val="000000"/>
          <w:sz w:val="28"/>
          <w:szCs w:val="28"/>
        </w:rPr>
        <w:t xml:space="preserve"> most expedient in the given scenario. Would your answer differ if the supply had taken place in Lagos and the action was to be filed there?</w:t>
      </w:r>
    </w:p>
    <w:p>
      <w:pPr>
        <w:pStyle w:val="style0"/>
        <w:spacing w:lineRule="auto" w:line="240"/>
        <w:jc w:val="both"/>
        <w:rPr>
          <w:color w:val="000000"/>
          <w:sz w:val="28"/>
          <w:szCs w:val="28"/>
        </w:rPr>
      </w:pPr>
      <w:r>
        <w:rPr>
          <w:color w:val="000000"/>
          <w:sz w:val="28"/>
          <w:szCs w:val="28"/>
        </w:rPr>
        <w:t>2. In numbered paragraphs, briefly outline the</w:t>
      </w:r>
      <w:r>
        <w:rPr>
          <w:color w:val="000000"/>
          <w:sz w:val="28"/>
          <w:szCs w:val="28"/>
          <w:lang w:val="en-US"/>
        </w:rPr>
        <w:t xml:space="preserve"> procedural</w:t>
      </w:r>
      <w:r>
        <w:rPr>
          <w:color w:val="000000"/>
          <w:sz w:val="28"/>
          <w:szCs w:val="28"/>
        </w:rPr>
        <w:t xml:space="preserve"> steps involved in the procedure identified above. How would your answer change if the supply had occurred in Lagos and the action was to be filed there?</w:t>
      </w:r>
    </w:p>
    <w:p>
      <w:pPr>
        <w:pStyle w:val="style0"/>
        <w:spacing w:lineRule="auto" w:line="240"/>
        <w:jc w:val="both"/>
        <w:rPr>
          <w:color w:val="000000"/>
          <w:sz w:val="28"/>
          <w:szCs w:val="28"/>
        </w:rPr>
      </w:pPr>
      <w:r>
        <w:rPr>
          <w:color w:val="000000"/>
          <w:sz w:val="28"/>
          <w:szCs w:val="28"/>
        </w:rPr>
        <w:t>3. Assuming the action was to be filed in Lagos and you were BIL’s lawyer, draft the application (without supporting documents) that BIL would need to file in order to obtain judgment expeditiously</w:t>
      </w:r>
      <w:r>
        <w:rPr>
          <w:color w:val="000000"/>
          <w:sz w:val="28"/>
          <w:szCs w:val="28"/>
          <w:lang w:val="en-US"/>
        </w:rPr>
        <w:t xml:space="preserve">, without trial, </w:t>
      </w:r>
      <w:r>
        <w:rPr>
          <w:color w:val="000000"/>
          <w:sz w:val="28"/>
          <w:szCs w:val="28"/>
        </w:rPr>
        <w:t>in the circumstances.</w:t>
      </w:r>
    </w:p>
    <w:p>
      <w:pPr>
        <w:pStyle w:val="style0"/>
        <w:spacing w:lineRule="auto" w:line="240"/>
        <w:jc w:val="both"/>
        <w:rPr>
          <w:color w:val="000000"/>
          <w:sz w:val="28"/>
          <w:szCs w:val="28"/>
        </w:rPr>
      </w:pPr>
      <w:r>
        <w:rPr>
          <w:color w:val="000000"/>
          <w:sz w:val="28"/>
          <w:szCs w:val="28"/>
        </w:rPr>
        <w:t>4. Identify and explain seven key differences between the summary judgment procedure under the undefended list (Order 34, Abuja) and the summary judgment procedure under Order 35</w:t>
      </w:r>
      <w:r>
        <w:rPr>
          <w:color w:val="000000"/>
          <w:sz w:val="28"/>
          <w:szCs w:val="28"/>
          <w:lang w:val="en-US"/>
        </w:rPr>
        <w:t>, Abuja</w:t>
      </w:r>
      <w:r>
        <w:rPr>
          <w:color w:val="000000"/>
          <w:sz w:val="28"/>
          <w:szCs w:val="28"/>
        </w:rPr>
        <w:t>/</w:t>
      </w:r>
      <w:r>
        <w:rPr>
          <w:color w:val="000000"/>
          <w:sz w:val="28"/>
          <w:szCs w:val="28"/>
          <w:lang w:val="en-US"/>
        </w:rPr>
        <w:t xml:space="preserve">Order 13, Lagos. </w:t>
      </w:r>
    </w:p>
    <w:p>
      <w:pPr>
        <w:pStyle w:val="style0"/>
        <w:spacing w:after="200" w:lineRule="auto" w:line="240"/>
        <w:jc w:val="both"/>
        <w:rPr>
          <w:color w:val="000000"/>
          <w:sz w:val="28"/>
          <w:szCs w:val="28"/>
        </w:rPr>
      </w:pPr>
      <w:r>
        <w:rPr>
          <w:color w:val="000000"/>
          <w:sz w:val="28"/>
          <w:szCs w:val="28"/>
        </w:rPr>
        <w:t>5</w:t>
      </w:r>
      <w:r>
        <w:rPr>
          <w:color w:val="000000"/>
          <w:sz w:val="28"/>
          <w:szCs w:val="28"/>
          <w:lang w:val="en-US"/>
        </w:rPr>
        <w:t xml:space="preserve"> (a)</w:t>
      </w:r>
      <w:r>
        <w:rPr>
          <w:color w:val="000000"/>
          <w:sz w:val="28"/>
          <w:szCs w:val="28"/>
        </w:rPr>
        <w:t>. Assuming that in response to the originating processes filed by the claimant in t</w:t>
      </w:r>
      <w:r>
        <w:rPr>
          <w:color w:val="000000"/>
          <w:sz w:val="28"/>
          <w:szCs w:val="28"/>
          <w:lang w:val="en-US"/>
        </w:rPr>
        <w:t xml:space="preserve">he action filed in Abuja and duly served on the defendant, </w:t>
      </w:r>
      <w:r>
        <w:rPr>
          <w:color w:val="000000"/>
          <w:sz w:val="28"/>
          <w:szCs w:val="28"/>
        </w:rPr>
        <w:t xml:space="preserve">the defendant failed to file any processes in court, and judgment was therefore entered in favour of the claimant, what is the nature of such a judgment?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How</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would</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your</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answer</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change</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if</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the</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same</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scenario</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occurred</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in</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the</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case</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filed</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in</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Lagos</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as</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referred</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to</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in</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question</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3</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 xml:space="preserve"> </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above</w:t>
      </w:r>
      <w:r>
        <w:rPr>
          <w:rFonts w:ascii="Cambria" w:cs="宋体" w:eastAsia="ＭＳ 明朝" w:hAnsi="Cambria" w:hint="default"/>
          <w:b w:val="false"/>
          <w:bCs w:val="false"/>
          <w:i w:val="false"/>
          <w:iCs w:val="false"/>
          <w:color w:val="000000"/>
          <w:sz w:val="28"/>
          <w:szCs w:val="28"/>
          <w:highlight w:val="none"/>
          <w:vertAlign w:val="baseline"/>
          <w:em w:val="none"/>
          <w:lang w:val="en-US" w:eastAsia="en-US"/>
        </w:rPr>
        <w:t>?</w:t>
      </w:r>
    </w:p>
    <w:p>
      <w:pPr>
        <w:pStyle w:val="style0"/>
        <w:spacing w:lineRule="auto" w:line="240"/>
        <w:jc w:val="both"/>
        <w:rPr>
          <w:color w:val="000000"/>
          <w:sz w:val="28"/>
          <w:szCs w:val="28"/>
        </w:rPr>
      </w:pPr>
      <w:r>
        <w:rPr>
          <w:color w:val="000000"/>
          <w:sz w:val="28"/>
          <w:szCs w:val="28"/>
          <w:lang w:val="en-US"/>
        </w:rPr>
        <w:t xml:space="preserve">5 (b). </w:t>
      </w:r>
      <w:r>
        <w:rPr>
          <w:color w:val="000000"/>
          <w:sz w:val="28"/>
          <w:szCs w:val="28"/>
        </w:rPr>
        <w:t xml:space="preserve">Comment on the chances of success of a subsequent application </w:t>
      </w:r>
      <w:r>
        <w:rPr>
          <w:color w:val="000000"/>
          <w:sz w:val="28"/>
          <w:szCs w:val="28"/>
          <w:lang w:val="en-US"/>
        </w:rPr>
        <w:t>in the trial court</w:t>
      </w:r>
      <w:r>
        <w:rPr>
          <w:color w:val="000000"/>
          <w:sz w:val="28"/>
          <w:szCs w:val="28"/>
        </w:rPr>
        <w:t xml:space="preserve"> by the defendant seeking to set aside the judgment</w:t>
      </w:r>
      <w:r>
        <w:rPr>
          <w:color w:val="000000"/>
          <w:sz w:val="28"/>
          <w:szCs w:val="28"/>
          <w:lang w:val="en-US"/>
        </w:rPr>
        <w:t xml:space="preserve"> in question 5 above. </w:t>
      </w:r>
      <w:r>
        <w:rPr>
          <w:color w:val="000000"/>
          <w:sz w:val="28"/>
          <w:szCs w:val="28"/>
        </w:rPr>
        <w:t xml:space="preserve">How would your answer change if the same scenario occurred in the case filed in </w:t>
      </w:r>
      <w:r>
        <w:rPr>
          <w:color w:val="000000"/>
          <w:sz w:val="28"/>
          <w:szCs w:val="28"/>
          <w:lang w:val="en-US"/>
        </w:rPr>
        <w:t>Lagos as referred to in question 3 above</w:t>
      </w:r>
      <w:r>
        <w:rPr>
          <w:color w:val="000000"/>
          <w:sz w:val="28"/>
          <w:szCs w:val="28"/>
        </w:rPr>
        <w:t>?</w:t>
      </w:r>
    </w:p>
    <w:p>
      <w:pPr>
        <w:pStyle w:val="style0"/>
        <w:spacing w:lineRule="auto" w:line="240"/>
        <w:jc w:val="both"/>
        <w:rPr>
          <w:color w:val="000000"/>
          <w:sz w:val="28"/>
          <w:szCs w:val="28"/>
        </w:rPr>
      </w:pPr>
      <w:r>
        <w:rPr>
          <w:color w:val="000000"/>
          <w:sz w:val="28"/>
          <w:szCs w:val="28"/>
          <w:lang w:val="en-US"/>
        </w:rPr>
        <w:t xml:space="preserve">6. </w:t>
      </w:r>
      <w:r>
        <w:rPr>
          <w:color w:val="000000"/>
          <w:sz w:val="28"/>
          <w:szCs w:val="28"/>
        </w:rPr>
        <w:t xml:space="preserve">Assuming that the Ministry filed a defence and a jurisdictional objection to the action filed in </w:t>
      </w:r>
      <w:r>
        <w:rPr>
          <w:color w:val="000000"/>
          <w:sz w:val="28"/>
          <w:szCs w:val="28"/>
          <w:lang w:val="en-US"/>
        </w:rPr>
        <w:t>Abuja</w:t>
      </w:r>
      <w:r>
        <w:rPr>
          <w:color w:val="000000"/>
          <w:sz w:val="28"/>
          <w:szCs w:val="28"/>
        </w:rPr>
        <w:t>, claiming that only the Federal High Court has jurisdiction because the Ministry is a Federal Government agency, comment on the validity of the Ministry’s contention that the FCT High Court lacks jurisdiction.</w:t>
      </w:r>
    </w:p>
    <w:p>
      <w:pPr>
        <w:pStyle w:val="style0"/>
        <w:spacing w:lineRule="auto" w:line="240"/>
        <w:jc w:val="both"/>
        <w:rPr>
          <w:color w:val="000000"/>
          <w:sz w:val="28"/>
          <w:szCs w:val="28"/>
        </w:rPr>
      </w:pPr>
      <w:r>
        <w:rPr>
          <w:color w:val="000000"/>
          <w:sz w:val="28"/>
          <w:szCs w:val="28"/>
          <w:lang w:val="en-US"/>
        </w:rPr>
        <w:t>7</w:t>
      </w:r>
      <w:r>
        <w:rPr>
          <w:color w:val="000000"/>
          <w:sz w:val="28"/>
          <w:szCs w:val="28"/>
        </w:rPr>
        <w:t>. Assuming that, following the Ministry’s failure to respond to the action in question 3 above</w:t>
      </w:r>
      <w:r>
        <w:rPr>
          <w:color w:val="000000"/>
          <w:sz w:val="28"/>
          <w:szCs w:val="28"/>
          <w:lang w:val="en-US"/>
        </w:rPr>
        <w:t xml:space="preserve"> in Lagos</w:t>
      </w:r>
      <w:r>
        <w:rPr>
          <w:color w:val="000000"/>
          <w:sz w:val="28"/>
          <w:szCs w:val="28"/>
        </w:rPr>
        <w:t>, the court entered judgment against the Ministry during the initial hearing, comment on the chances of success of an application by the Ministry to have the judgment set aside. Would your answer differ if the action had been filed in Abuja?</w:t>
      </w:r>
    </w:p>
    <w:p>
      <w:pPr>
        <w:pStyle w:val="style0"/>
        <w:spacing w:lineRule="auto" w:line="240"/>
        <w:jc w:val="both"/>
        <w:rPr>
          <w:color w:val="000000"/>
          <w:sz w:val="28"/>
          <w:szCs w:val="28"/>
        </w:rPr>
      </w:pPr>
      <w:r>
        <w:rPr>
          <w:color w:val="000000"/>
          <w:sz w:val="28"/>
          <w:szCs w:val="28"/>
          <w:lang w:val="en-US"/>
        </w:rPr>
        <w:t>8</w:t>
      </w:r>
      <w:r>
        <w:rPr>
          <w:color w:val="000000"/>
          <w:sz w:val="28"/>
          <w:szCs w:val="28"/>
        </w:rPr>
        <w:t>. Assuming that in the action filed in Abuja in question 1 above, the judge, after hearing the parties, found that the defendant had not disclosed a defence on the merit, what orders can the court make in the circumstances, and what would be the effect of such order</w:t>
      </w:r>
      <w:r>
        <w:rPr>
          <w:color w:val="000000"/>
          <w:sz w:val="28"/>
          <w:szCs w:val="28"/>
          <w:lang w:val="en-US"/>
        </w:rPr>
        <w:t xml:space="preserve">(s)? </w:t>
      </w:r>
      <w:r>
        <w:rPr>
          <w:color w:val="000000"/>
          <w:sz w:val="28"/>
          <w:szCs w:val="28"/>
        </w:rPr>
        <w:t>How would your answer differ if the scenario had occurred in Lagos?</w:t>
      </w:r>
    </w:p>
    <w:p>
      <w:pPr>
        <w:pStyle w:val="style0"/>
        <w:spacing w:lineRule="auto" w:line="240"/>
        <w:jc w:val="both"/>
        <w:rPr>
          <w:color w:val="000000"/>
          <w:sz w:val="28"/>
          <w:szCs w:val="28"/>
        </w:rPr>
      </w:pPr>
      <w:r>
        <w:rPr>
          <w:color w:val="000000"/>
          <w:sz w:val="28"/>
          <w:szCs w:val="28"/>
        </w:rPr>
        <w:t>9. What order(s) is the judge expected to make if it is found that a defence on the merit has been disclosed</w:t>
      </w:r>
      <w:r>
        <w:rPr>
          <w:color w:val="000000"/>
          <w:sz w:val="28"/>
          <w:szCs w:val="28"/>
          <w:lang w:val="en-US"/>
        </w:rPr>
        <w:t xml:space="preserve"> in the case filed in Abuja</w:t>
      </w:r>
      <w:r>
        <w:rPr>
          <w:color w:val="000000"/>
          <w:sz w:val="28"/>
          <w:szCs w:val="28"/>
        </w:rPr>
        <w:t>? Would your answer differ if the action was filed in Lagos? Explain.</w:t>
      </w:r>
    </w:p>
    <w:p>
      <w:pPr>
        <w:pStyle w:val="style0"/>
        <w:spacing w:lineRule="auto" w:line="240"/>
        <w:jc w:val="both"/>
        <w:rPr>
          <w:color w:val="000000"/>
          <w:sz w:val="28"/>
          <w:szCs w:val="28"/>
        </w:rPr>
      </w:pPr>
      <w:r>
        <w:rPr>
          <w:color w:val="000000"/>
          <w:sz w:val="28"/>
          <w:szCs w:val="28"/>
        </w:rPr>
        <w:t>10. Assuming that upon receipt of the vehicles, the Ministry complained about the standard of 50 buses as its reason for non-payment of the balance</w:t>
      </w:r>
      <w:r>
        <w:rPr>
          <w:color w:val="000000"/>
          <w:sz w:val="28"/>
          <w:szCs w:val="28"/>
          <w:lang w:val="en-US"/>
        </w:rPr>
        <w:t>, and they reiterated the same position in all their responses to BIL's demand letters</w:t>
      </w:r>
      <w:r>
        <w:rPr>
          <w:color w:val="000000"/>
          <w:sz w:val="28"/>
          <w:szCs w:val="28"/>
        </w:rPr>
        <w:t>, comment briefly on how this complaint might affect BIL’s choice of procedural m</w:t>
      </w:r>
      <w:r>
        <w:rPr>
          <w:color w:val="000000"/>
          <w:sz w:val="28"/>
          <w:szCs w:val="28"/>
          <w:lang w:val="en-US"/>
        </w:rPr>
        <w:t>ode</w:t>
      </w:r>
      <w:r>
        <w:rPr>
          <w:color w:val="000000"/>
          <w:sz w:val="28"/>
          <w:szCs w:val="28"/>
        </w:rPr>
        <w:t>. Provide reasons for your answer.</w:t>
      </w:r>
    </w:p>
    <w:p>
      <w:pPr>
        <w:pStyle w:val="style0"/>
        <w:spacing w:lineRule="auto" w:line="240"/>
        <w:jc w:val="both"/>
        <w:rPr>
          <w:color w:val="000000"/>
          <w:sz w:val="28"/>
          <w:szCs w:val="28"/>
        </w:rPr>
      </w:pPr>
      <w:r>
        <w:rPr>
          <w:color w:val="000000"/>
          <w:sz w:val="28"/>
          <w:szCs w:val="28"/>
        </w:rPr>
        <w:t>11</w:t>
      </w:r>
      <w:r>
        <w:rPr>
          <w:color w:val="000000"/>
          <w:sz w:val="28"/>
          <w:szCs w:val="28"/>
          <w:lang w:val="en-US"/>
        </w:rPr>
        <w:t>(</w:t>
      </w:r>
      <w:r>
        <w:rPr>
          <w:color w:val="000000"/>
          <w:sz w:val="28"/>
          <w:szCs w:val="28"/>
        </w:rPr>
        <w:t>a</w:t>
      </w:r>
      <w:r>
        <w:rPr>
          <w:color w:val="000000"/>
          <w:sz w:val="28"/>
          <w:szCs w:val="28"/>
          <w:lang w:val="en-US"/>
        </w:rPr>
        <w:t xml:space="preserve">). </w:t>
      </w:r>
      <w:r>
        <w:rPr>
          <w:color w:val="000000"/>
          <w:sz w:val="28"/>
          <w:szCs w:val="28"/>
        </w:rPr>
        <w:t xml:space="preserve">Assuming that in the action filed </w:t>
      </w:r>
      <w:r>
        <w:rPr>
          <w:color w:val="000000"/>
          <w:sz w:val="28"/>
          <w:szCs w:val="28"/>
          <w:lang w:val="en-US"/>
        </w:rPr>
        <w:t xml:space="preserve">in Abuja, </w:t>
      </w:r>
      <w:r>
        <w:rPr>
          <w:color w:val="000000"/>
          <w:sz w:val="28"/>
          <w:szCs w:val="28"/>
        </w:rPr>
        <w:t>as described in question 1 above, the Ministry was granted leave to defend, but subsequently failed to file its defence within time, leading to judgment being entered against it upon the claimant’s application</w:t>
      </w:r>
      <w:r>
        <w:rPr>
          <w:color w:val="000000"/>
          <w:sz w:val="28"/>
          <w:szCs w:val="28"/>
          <w:lang w:val="en-US"/>
        </w:rPr>
        <w:t>, w</w:t>
      </w:r>
      <w:r>
        <w:rPr>
          <w:color w:val="000000"/>
          <w:sz w:val="28"/>
          <w:szCs w:val="28"/>
        </w:rPr>
        <w:t>hat is the nature of the judgment?</w:t>
      </w:r>
    </w:p>
    <w:p>
      <w:pPr>
        <w:pStyle w:val="style0"/>
        <w:spacing w:lineRule="auto" w:line="240"/>
        <w:jc w:val="both"/>
        <w:rPr>
          <w:color w:val="000000"/>
          <w:sz w:val="28"/>
          <w:szCs w:val="28"/>
        </w:rPr>
      </w:pPr>
      <w:r>
        <w:rPr>
          <w:color w:val="000000"/>
          <w:sz w:val="28"/>
          <w:szCs w:val="28"/>
        </w:rPr>
        <w:t>11</w:t>
      </w:r>
      <w:r>
        <w:rPr>
          <w:color w:val="000000"/>
          <w:sz w:val="28"/>
          <w:szCs w:val="28"/>
          <w:lang w:val="en-US"/>
        </w:rPr>
        <w:t>(</w:t>
      </w:r>
      <w:r>
        <w:rPr>
          <w:color w:val="000000"/>
          <w:sz w:val="28"/>
          <w:szCs w:val="28"/>
        </w:rPr>
        <w:t>b</w:t>
      </w:r>
      <w:r>
        <w:rPr>
          <w:color w:val="000000"/>
          <w:sz w:val="28"/>
          <w:szCs w:val="28"/>
          <w:lang w:val="en-US"/>
        </w:rPr>
        <w:t>)</w:t>
      </w:r>
      <w:r>
        <w:rPr>
          <w:color w:val="000000"/>
          <w:sz w:val="28"/>
          <w:szCs w:val="28"/>
        </w:rPr>
        <w:t>. Draft the application (without supporting documents) that the Ministry would file to have the judgment set aside.</w:t>
      </w:r>
    </w:p>
    <w:p>
      <w:pPr>
        <w:pStyle w:val="style0"/>
        <w:spacing w:lineRule="auto" w:line="240"/>
        <w:jc w:val="both"/>
        <w:rPr>
          <w:color w:val="000000"/>
          <w:sz w:val="28"/>
          <w:szCs w:val="28"/>
        </w:rPr>
      </w:pPr>
      <w:r>
        <w:rPr>
          <w:color w:val="000000"/>
          <w:sz w:val="28"/>
          <w:szCs w:val="28"/>
        </w:rPr>
        <w:t>11</w:t>
      </w:r>
      <w:r>
        <w:rPr>
          <w:color w:val="000000"/>
          <w:sz w:val="28"/>
          <w:szCs w:val="28"/>
          <w:lang w:val="en-US"/>
        </w:rPr>
        <w:t>(</w:t>
      </w:r>
      <w:r>
        <w:rPr>
          <w:color w:val="000000"/>
          <w:sz w:val="28"/>
          <w:szCs w:val="28"/>
        </w:rPr>
        <w:t>c</w:t>
      </w:r>
      <w:r>
        <w:rPr>
          <w:color w:val="000000"/>
          <w:sz w:val="28"/>
          <w:szCs w:val="28"/>
          <w:lang w:val="en-US"/>
        </w:rPr>
        <w:t>)</w:t>
      </w:r>
      <w:r>
        <w:rPr>
          <w:color w:val="000000"/>
          <w:sz w:val="28"/>
          <w:szCs w:val="28"/>
        </w:rPr>
        <w:t>. List the factors that would guide the court in determining whether or not to grant the application referred to in 11(b) above.</w:t>
      </w:r>
    </w:p>
    <w:p>
      <w:pPr>
        <w:pStyle w:val="style0"/>
        <w:spacing w:lineRule="auto" w:line="240"/>
        <w:jc w:val="both"/>
        <w:rPr>
          <w:color w:val="000000"/>
          <w:sz w:val="28"/>
          <w:szCs w:val="28"/>
        </w:rPr>
      </w:pPr>
      <w:r>
        <w:rPr>
          <w:color w:val="000000"/>
          <w:sz w:val="28"/>
          <w:szCs w:val="28"/>
        </w:rPr>
        <w:t>11</w:t>
      </w:r>
      <w:r>
        <w:rPr>
          <w:color w:val="000000"/>
          <w:sz w:val="28"/>
          <w:szCs w:val="28"/>
          <w:lang w:val="en-US"/>
        </w:rPr>
        <w:t>(</w:t>
      </w:r>
      <w:r>
        <w:rPr>
          <w:color w:val="000000"/>
          <w:sz w:val="28"/>
          <w:szCs w:val="28"/>
        </w:rPr>
        <w:t>d</w:t>
      </w:r>
      <w:r>
        <w:rPr>
          <w:color w:val="000000"/>
          <w:sz w:val="28"/>
          <w:szCs w:val="28"/>
          <w:lang w:val="en-US"/>
        </w:rPr>
        <w:t xml:space="preserve">). </w:t>
      </w:r>
      <w:r>
        <w:rPr>
          <w:color w:val="000000"/>
          <w:sz w:val="28"/>
          <w:szCs w:val="28"/>
        </w:rPr>
        <w:t>Comment on the chances of success of the application filed by the defendant</w:t>
      </w:r>
      <w:r>
        <w:rPr>
          <w:color w:val="000000"/>
          <w:sz w:val="28"/>
          <w:szCs w:val="28"/>
          <w:lang w:val="en-US"/>
        </w:rPr>
        <w:t xml:space="preserve"> in question 11(b) above. </w:t>
      </w:r>
    </w:p>
    <w:p>
      <w:pPr>
        <w:pStyle w:val="style0"/>
        <w:spacing w:lineRule="auto" w:line="240"/>
        <w:jc w:val="both"/>
        <w:rPr>
          <w:color w:val="000000"/>
          <w:sz w:val="28"/>
          <w:szCs w:val="28"/>
        </w:rPr>
      </w:pPr>
      <w:r>
        <w:rPr>
          <w:color w:val="000000"/>
          <w:sz w:val="28"/>
          <w:szCs w:val="28"/>
        </w:rPr>
        <w:t>12. Assuming a similar application as that referred to in question 11(b) above was filed in a comparable scenario in Lagos, would your answer be different? If yes, explain how.</w:t>
      </w:r>
    </w:p>
    <w:p>
      <w:pPr>
        <w:pStyle w:val="style0"/>
        <w:spacing w:lineRule="auto" w:line="240"/>
        <w:jc w:val="both"/>
        <w:rPr>
          <w:color w:val="000000"/>
          <w:sz w:val="28"/>
          <w:szCs w:val="28"/>
        </w:rPr>
      </w:pPr>
      <w:r>
        <w:rPr>
          <w:color w:val="000000"/>
          <w:sz w:val="28"/>
          <w:szCs w:val="28"/>
        </w:rPr>
        <w:t>13. List all the differences</w:t>
      </w:r>
      <w:r>
        <w:rPr>
          <w:color w:val="000000"/>
          <w:sz w:val="28"/>
          <w:szCs w:val="28"/>
          <w:lang w:val="en-US"/>
        </w:rPr>
        <w:t xml:space="preserve"> (if any) </w:t>
      </w:r>
      <w:r>
        <w:rPr>
          <w:color w:val="000000"/>
          <w:sz w:val="28"/>
          <w:szCs w:val="28"/>
        </w:rPr>
        <w:t>between the judgment described in question 11(a) and the judgment d</w:t>
      </w:r>
      <w:r>
        <w:rPr>
          <w:color w:val="000000"/>
          <w:sz w:val="28"/>
          <w:szCs w:val="28"/>
          <w:lang w:val="en-US"/>
        </w:rPr>
        <w:t>escribed i</w:t>
      </w:r>
      <w:r>
        <w:rPr>
          <w:color w:val="000000"/>
          <w:sz w:val="28"/>
          <w:szCs w:val="28"/>
        </w:rPr>
        <w:t xml:space="preserve">n </w:t>
      </w:r>
      <w:r>
        <w:rPr>
          <w:color w:val="000000"/>
          <w:sz w:val="28"/>
          <w:szCs w:val="28"/>
          <w:lang w:val="en-US"/>
        </w:rPr>
        <w:t xml:space="preserve">question 5(a) above. </w:t>
      </w:r>
    </w:p>
    <w:p>
      <w:pPr>
        <w:pStyle w:val="style0"/>
        <w:spacing w:lineRule="auto" w:line="240"/>
        <w:jc w:val="both"/>
        <w:rPr>
          <w:color w:val="000000"/>
          <w:sz w:val="28"/>
          <w:szCs w:val="28"/>
        </w:rPr>
      </w:pPr>
      <w:r>
        <w:rPr>
          <w:color w:val="000000"/>
          <w:sz w:val="28"/>
          <w:szCs w:val="28"/>
        </w:rPr>
        <w:t>14. Outline the procedure and consequences of setting aside the judgment upon the application filed in question 11(b) above.</w:t>
      </w:r>
    </w:p>
    <w:p>
      <w:pPr>
        <w:pStyle w:val="style0"/>
        <w:spacing w:lineRule="auto" w:line="240"/>
        <w:jc w:val="both"/>
        <w:rPr>
          <w:color w:val="000000"/>
          <w:sz w:val="28"/>
          <w:szCs w:val="28"/>
        </w:rPr>
      </w:pPr>
      <w:r>
        <w:rPr>
          <w:color w:val="000000"/>
          <w:sz w:val="28"/>
          <w:szCs w:val="28"/>
        </w:rPr>
        <w:t>15. Comment briefly on the scope of actions falling under the 'necessary preliminary steps' referred to in the scenario at the beginning.</w:t>
      </w:r>
    </w:p>
    <w:p>
      <w:pPr>
        <w:pStyle w:val="style0"/>
        <w:spacing w:lineRule="auto" w:line="240"/>
        <w:jc w:val="both"/>
        <w:rPr>
          <w:color w:val="000000"/>
          <w:sz w:val="28"/>
          <w:szCs w:val="28"/>
        </w:rPr>
      </w:pPr>
      <w:r>
        <w:rPr>
          <w:color w:val="000000"/>
          <w:sz w:val="28"/>
          <w:szCs w:val="28"/>
          <w:lang w:val="en-US"/>
        </w:rPr>
        <w:t>INSTRUCTIONS:</w:t>
      </w:r>
    </w:p>
    <w:p>
      <w:pPr>
        <w:pStyle w:val="style179"/>
        <w:numPr>
          <w:ilvl w:val="0"/>
          <w:numId w:val="10"/>
        </w:numPr>
        <w:spacing w:lineRule="auto" w:line="240"/>
        <w:jc w:val="both"/>
        <w:rPr>
          <w:color w:val="000000"/>
          <w:sz w:val="28"/>
          <w:szCs w:val="28"/>
          <w:lang w:val="en-US"/>
        </w:rPr>
      </w:pPr>
      <w:r>
        <w:rPr>
          <w:color w:val="000000"/>
          <w:sz w:val="28"/>
          <w:szCs w:val="28"/>
          <w:lang w:val="en-US"/>
        </w:rPr>
        <w:t>Each group must consider and answer all the questions and submit their work not later than 8:40 a.m. on 29 May 2025.</w:t>
      </w:r>
    </w:p>
    <w:p>
      <w:pPr>
        <w:pStyle w:val="style179"/>
        <w:numPr>
          <w:ilvl w:val="0"/>
          <w:numId w:val="10"/>
        </w:numPr>
        <w:spacing w:lineRule="auto" w:line="240"/>
        <w:jc w:val="both"/>
        <w:rPr>
          <w:color w:val="000000"/>
          <w:sz w:val="28"/>
          <w:szCs w:val="28"/>
          <w:lang w:val="en-US"/>
        </w:rPr>
      </w:pPr>
      <w:r>
        <w:rPr>
          <w:color w:val="000000"/>
          <w:sz w:val="28"/>
          <w:szCs w:val="28"/>
          <w:lang w:val="en-US"/>
        </w:rPr>
        <w:t>Every student is required to study, in advance, the topics of Summary Judgment and Default Judgment.</w:t>
      </w:r>
    </w:p>
    <w:p>
      <w:pPr>
        <w:pStyle w:val="style179"/>
        <w:numPr>
          <w:ilvl w:val="0"/>
          <w:numId w:val="10"/>
        </w:numPr>
        <w:spacing w:lineRule="auto" w:line="240"/>
        <w:jc w:val="both"/>
        <w:rPr>
          <w:color w:val="000000"/>
          <w:sz w:val="28"/>
          <w:szCs w:val="28"/>
        </w:rPr>
      </w:pPr>
      <w:r>
        <w:rPr>
          <w:color w:val="000000"/>
          <w:sz w:val="28"/>
          <w:szCs w:val="28"/>
          <w:lang w:val="en-US"/>
        </w:rPr>
        <w:t>Each student must come to class with a hard copy of the completed tasks.</w:t>
      </w:r>
    </w:p>
    <w:p>
      <w:pPr>
        <w:pStyle w:val="style0"/>
        <w:numPr>
          <w:ilvl w:val="0"/>
          <w:numId w:val="0"/>
        </w:numPr>
        <w:spacing w:lineRule="auto" w:line="240"/>
        <w:jc w:val="both"/>
        <w:rPr>
          <w:color w:val="000000"/>
          <w:sz w:val="28"/>
          <w:szCs w:val="28"/>
        </w:rPr>
      </w:pPr>
      <w:r>
        <w:rPr>
          <w:color w:val="000000"/>
          <w:sz w:val="28"/>
          <w:szCs w:val="28"/>
          <w:lang w:val="en-US"/>
        </w:rPr>
        <w:t>The End</w:t>
      </w:r>
    </w:p>
    <w:p>
      <w:pPr>
        <w:pStyle w:val="style0"/>
        <w:numPr>
          <w:ilvl w:val="0"/>
          <w:numId w:val="0"/>
        </w:numPr>
        <w:spacing w:lineRule="auto" w:line="240"/>
        <w:jc w:val="both"/>
        <w:rPr>
          <w:color w:val="000000"/>
          <w:sz w:val="28"/>
          <w:szCs w:val="28"/>
        </w:rPr>
      </w:pP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Wingdings 2"/>
    <w:panose1 w:val="05020102010000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5eac68dc-0625-4bfc-9ae0-461fd99a7d25"/>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0556926-aaaf-4821-9017-60549a75ed2b"/>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15791e1a-169a-4101-9bb4-b151a421df3e"/>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22810f51-4356-41a2-8407-54580699031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6324aa2-6ddd-4e6d-ae1d-b2aa9578e3c4"/>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4a569809-a456-4edf-a3a8-4a44332493a2"/>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afca9b50-bada-498a-9290-40fc63235b24"/>
    <w:basedOn w:val="style65"/>
    <w:next w:val="style4108"/>
    <w:link w:val="style180"/>
    <w:uiPriority w:val="29"/>
    <w:rPr>
      <w:i/>
      <w:iCs/>
      <w:color w:val="000000"/>
    </w:rPr>
  </w:style>
  <w:style w:type="character" w:customStyle="1" w:styleId="style4109">
    <w:name w:val="Heading 4 Char_b58dc6e2-a66f-402f-9264-228f2a9af8a2"/>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a1c45029-3b5f-4b80-b613-918a8c2da9e8"/>
    <w:basedOn w:val="style65"/>
    <w:next w:val="style4110"/>
    <w:link w:val="style5"/>
    <w:uiPriority w:val="9"/>
    <w:rPr>
      <w:rFonts w:ascii="Calibri" w:cs="宋体" w:eastAsia="ＭＳ ゴシック" w:hAnsi="Calibri"/>
      <w:color w:val="243f60"/>
    </w:rPr>
  </w:style>
  <w:style w:type="character" w:customStyle="1" w:styleId="style4111">
    <w:name w:val="Heading 6 Char_62305a2d-aaa7-4857-a2ca-49966b4c6c4c"/>
    <w:basedOn w:val="style65"/>
    <w:next w:val="style4111"/>
    <w:link w:val="style6"/>
    <w:uiPriority w:val="9"/>
    <w:rPr>
      <w:rFonts w:ascii="Calibri" w:cs="宋体" w:eastAsia="ＭＳ ゴシック" w:hAnsi="Calibri"/>
      <w:i/>
      <w:iCs/>
      <w:color w:val="243f60"/>
    </w:rPr>
  </w:style>
  <w:style w:type="character" w:customStyle="1" w:styleId="style4112">
    <w:name w:val="Heading 7 Char_8d13b6a9-c2dc-43eb-82c5-9b584efe8eaa"/>
    <w:basedOn w:val="style65"/>
    <w:next w:val="style4112"/>
    <w:link w:val="style7"/>
    <w:uiPriority w:val="9"/>
    <w:rPr>
      <w:rFonts w:ascii="Calibri" w:cs="宋体" w:eastAsia="ＭＳ ゴシック" w:hAnsi="Calibri"/>
      <w:i/>
      <w:iCs/>
      <w:color w:val="404040"/>
    </w:rPr>
  </w:style>
  <w:style w:type="character" w:customStyle="1" w:styleId="style4113">
    <w:name w:val="Heading 8 Char_7bbad4eb-6709-44ad-bc4a-3e4c0df8e92b"/>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f610dfcb-2a5b-4042-98a4-22076dd361b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b8be51ff-4b19-492e-a6ea-e0858133869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986</Words>
  <Pages>1</Pages>
  <Characters>4867</Characters>
  <Application>WPS Office</Application>
  <DocSecurity>0</DocSecurity>
  <Paragraphs>28</Paragraphs>
  <ScaleCrop>false</ScaleCrop>
  <LinksUpToDate>false</LinksUpToDate>
  <CharactersWithSpaces>5831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2025-05-27T01:12:54Z</dcterms:created>
  <dc:creator>python-docx</dc:creator>
  <dc:description>generated by python-docx</dc:description>
  <lastModifiedBy>Infinix X6710</lastModifiedBy>
  <dcterms:modified xsi:type="dcterms:W3CDTF">2025-05-27T01:12:54Z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ce24402a0d0a498c93fb56fd6ac3fdfd</vt:lpwstr>
  </property>
</Properties>
</file>