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THE SUPREME COURT MAKE A FINDING OR PRONOUNCEMENT WHERE THE COURT OF APPEAL FAILS TO DO SO?</w:t>
      </w:r>
    </w:p>
    <w:p>
      <w:pPr>
        <w:pStyle w:val="Heading2"/>
      </w:pPr>
      <w:r>
        <w:t>Introduction</w:t>
      </w:r>
    </w:p>
    <w:p>
      <w:r>
        <w:t>In appellate practice, one important question that arises is whether the Supreme Court can make a finding or pronouncement on an issue that the Court of Appeal failed to address. This question often comes up where the Court of Appeal delivers judgment but omits to determine one or more issues raised by a party. The answer depends largely on whether the Supreme Court has before it all the necessary materials to make such a finding without needing to re-evaluate evidence or determine credibility of witnesses. The human factor here involves ensuring that justice is not delayed or denied due to procedural omissions by lower courts, while maintaining fairness to all parties.</w:t>
      </w:r>
    </w:p>
    <w:p>
      <w:pPr>
        <w:pStyle w:val="Heading2"/>
      </w:pPr>
      <w:r>
        <w:t>Legal Principle</w:t>
      </w:r>
    </w:p>
    <w:p>
      <w:r>
        <w:t>Under Section 22 of the Supreme Court Act, the Supreme Court possesses the same powers as the Court of Appeal to make any order necessary for determining the real question in controversy. This means that where the Court of Appeal fails to make a finding or pronouncement, the Supreme Court may step in and do so, provided the record before it is complete and does not require the evaluation of fresh evidence. The guiding principle is to prevent miscarriage of justice and ensure that the rights of the parties are fully determined.</w:t>
      </w:r>
    </w:p>
    <w:p>
      <w:pPr>
        <w:pStyle w:val="Heading2"/>
      </w:pPr>
      <w:r>
        <w:t>Relevant Case Authorities</w:t>
      </w:r>
    </w:p>
    <w:p>
      <w:r>
        <w:t>1. Ogbechie v. Onochie (1986) 2 NWLR (Pt. 23) 484 SC</w:t>
      </w:r>
    </w:p>
    <w:p>
      <w:r>
        <w:t>The Supreme Court held that while it cannot usurp the functions of the trial court in evaluating evidence, it may make its own findings if all the relevant facts are already before it. This ensures justice is done despite procedural gaps at the appellate level.</w:t>
      </w:r>
    </w:p>
    <w:p>
      <w:r>
        <w:t>2. Akinyemi v. State (1999) 6 NWLR (Pt. 607) 449 SC</w:t>
      </w:r>
    </w:p>
    <w:p>
      <w:r>
        <w:t>In this case, the Court of Appeal failed to address material issues raised. The Supreme Court, finding that all necessary evidence was contained in the record, made the necessary pronouncements itself. The court emphasized that as the final appellate court, it must do substantial justice without undue technicality.</w:t>
      </w:r>
    </w:p>
    <w:p>
      <w:r>
        <w:t>3. Onifade v. Olayiwola (1990) 7 NWLR (Pt. 161) 130 SC</w:t>
      </w:r>
    </w:p>
    <w:p>
      <w:r>
        <w:t>The Court of Appeal failed to consider certain issues properly raised before it. The Supreme Court invoked its powers under Section 22 of the Supreme Court Act to determine those issues. It stressed that appellate justice requires a complete and fair resolution of all matters in controversy.</w:t>
      </w:r>
    </w:p>
    <w:p>
      <w:r>
        <w:t>4. Chukwuogor v. Chukwuogor (2006) 5 NWLR (Pt. 972) 451 SC</w:t>
      </w:r>
    </w:p>
    <w:p>
      <w:r>
        <w:t>The Court of Appeal ignored certain legal arguments in a matrimonial matter. The Supreme Court, relying on the complete record, made its own findings to avoid a miscarriage of justice, demonstrating its role in correcting omissions by lower courts.</w:t>
      </w:r>
    </w:p>
    <w:p>
      <w:pPr>
        <w:pStyle w:val="Heading2"/>
      </w:pPr>
      <w:r>
        <w:t>Application to the Present Case</w:t>
      </w:r>
    </w:p>
    <w:p>
      <w:r>
        <w:t>In the present matter, the Court of Appeal delivered judgment in favour of the claimant but failed to make a pronouncement on one of the two issues raised. Since the record of proceedings and all relevant materials are already before the Supreme Court, and no fresh evidence or re-evaluation of witness credibility is required, the Supreme Court may properly make the finding or pronouncement that the Court of Appeal failed to make. This approach upholds the principle of substantive justice and avoids undue delay caused by remitting the case back to the Court of Appeal.</w:t>
      </w:r>
    </w:p>
    <w:p>
      <w:pPr>
        <w:pStyle w:val="Heading2"/>
      </w:pPr>
      <w:r>
        <w:t>Limitation</w:t>
      </w:r>
    </w:p>
    <w:p>
      <w:r>
        <w:t>However, if the issue omitted by the Court of Appeal requires a fresh evaluation of evidence or assessment of witness credibility, the Supreme Court cannot make such a finding. In that case, the matter would need to be remitted to the Court of Appeal for consideration. This preserves the integrity of the fact-finding process at the trial and intermediate appellate levels.</w:t>
      </w:r>
    </w:p>
    <w:p>
      <w:pPr>
        <w:pStyle w:val="Heading2"/>
      </w:pPr>
      <w:r>
        <w:t>Conclusion</w:t>
      </w:r>
    </w:p>
    <w:p>
      <w:r>
        <w:t>Yes, the Supreme Court can make a finding or pronouncement where the Court of Appeal fails to do so, provided the record is complete and the issue does not require fresh evidence. This power, derived from Section 22 of the Supreme Court Act, has been affirmed in cases such as Akinyemi v. State, Onifade v. Olayiwola, Chukwuogor v. Chukwuogor, and Ogbechie v. Onochie. The underlying human factor is the need to balance procedural propriety with the pursuit of substantive justice, ensuring that parties are not denied their rights through technical omissions or judicial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