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before="1160"/>
        <w:jc w:val="center"/>
      </w:pPr>
      <w:r>
        <w:rPr>
          <w:rFonts w:ascii="Microsoft YaHei" w:hAnsi="Microsoft YaHei" w:eastAsia="Microsoft YaHei"/>
          <w:b/>
          <w:color w:val="000000"/>
          <w:sz w:val="56"/>
        </w:rPr>
        <w:t>Harness 与 DeepSeek Harness</w:t>
      </w:r>
    </w:p>
    <w:p>
      <w:pPr>
        <w:spacing w:after="480"/>
        <w:jc w:val="center"/>
      </w:pPr>
      <w:r>
        <w:rPr>
          <w:rFonts w:ascii="Microsoft YaHei" w:hAnsi="Microsoft YaHei" w:eastAsia="Microsoft YaHei"/>
          <w:b w:val="0"/>
          <w:color w:val="000000"/>
          <w:sz w:val="30"/>
        </w:rPr>
        <w:t>面向业务用户的原理 架构 产品比较与桌面端操作说明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6228000" cy="340464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1_relationship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228000" cy="34046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/>
        <w:jc w:val="center"/>
      </w:pPr>
      <w:r>
        <w:rPr>
          <w:rFonts w:ascii="Microsoft YaHei" w:hAnsi="Microsoft YaHei" w:eastAsia="Microsoft YaHei"/>
          <w:b w:val="0"/>
          <w:color w:val="606A73"/>
          <w:sz w:val="17"/>
        </w:rPr>
        <w:t>图 1 Model Agent Harness 与产品的层次关系</w:t>
      </w:r>
    </w:p>
    <w:p>
      <w:pPr>
        <w:spacing w:before="160"/>
        <w:jc w:val="center"/>
      </w:pPr>
      <w:r>
        <w:rPr>
          <w:rFonts w:ascii="Microsoft YaHei" w:hAnsi="Microsoft YaHei" w:eastAsia="Microsoft YaHei"/>
          <w:b w:val="0"/>
          <w:color w:val="606A73"/>
          <w:sz w:val="18"/>
        </w:rPr>
        <w:t>基于 DeepSeek Harness 官方架构与 Harness Desktop v1.1.0 项目整理</w:t>
      </w:r>
    </w:p>
    <w:p>
      <w:pPr>
        <w:jc w:val="center"/>
      </w:pPr>
      <w:r>
        <w:rPr>
          <w:rFonts w:ascii="Microsoft YaHei" w:hAnsi="Microsoft YaHei" w:eastAsia="Microsoft YaHei"/>
          <w:b w:val="0"/>
          <w:color w:val="606A73"/>
          <w:sz w:val="18"/>
        </w:rPr>
        <w:t>2026 年 9 月</w:t>
      </w:r>
    </w:p>
    <w:p>
      <w:r>
        <w:br w:type="page"/>
      </w:r>
    </w:p>
    <w:p>
      <w:pPr>
        <w:spacing w:after="0" w:line="560" w:lineRule="exact"/>
      </w:pPr>
      <w:r>
        <w:rPr>
          <w:rFonts w:ascii="Microsoft YaHei" w:hAnsi="Microsoft YaHei" w:eastAsia="Microsoft YaHei"/>
          <w:b w:val="0"/>
          <w:color w:val="FFFFFF"/>
          <w:sz w:val="16"/>
        </w:rPr>
        <w:t xml:space="preserve"> </w:t>
      </w:r>
    </w:p>
    <w:p>
      <w:pPr>
        <w:spacing w:after="20"/>
      </w:pPr>
      <w:r>
        <w:rPr>
          <w:rFonts w:ascii="Microsoft YaHei" w:hAnsi="Microsoft YaHei" w:eastAsia="Microsoft YaHei"/>
          <w:b/>
          <w:color w:val="1F6FA8"/>
          <w:sz w:val="17"/>
        </w:rPr>
        <w:t>导读</w:t>
      </w:r>
    </w:p>
    <w:p>
      <w:pPr>
        <w:pStyle w:val="Heading1"/>
        <w:keepNext/>
        <w:spacing w:after="140"/>
      </w:pPr>
      <w:r>
        <w:rPr>
          <w:rFonts w:ascii="Microsoft YaHei" w:hAnsi="Microsoft YaHei" w:eastAsia="Microsoft YaHei"/>
          <w:b/>
          <w:color w:val="000000"/>
          <w:sz w:val="38"/>
        </w:rPr>
        <w:t>核心结论与阅读范围</w:t>
      </w:r>
    </w:p>
    <w:p>
      <w:pPr>
        <w:pStyle w:val="ListBullet"/>
        <w:spacing w:after="60" w:line="264" w:lineRule="auto"/>
      </w:pPr>
      <w:r>
        <w:rPr>
          <w:rFonts w:ascii="Microsoft YaHei" w:hAnsi="Microsoft YaHei" w:eastAsia="Microsoft YaHei"/>
          <w:b w:val="0"/>
          <w:color w:val="263640"/>
          <w:sz w:val="19"/>
        </w:rPr>
        <w:t>Model 提供语言理解、推理与内容生成能力，但不能独立访问文件、执行命令或维护完整任务状态。</w:t>
      </w:r>
    </w:p>
    <w:p>
      <w:pPr>
        <w:pStyle w:val="ListBullet"/>
        <w:spacing w:after="60" w:line="264" w:lineRule="auto"/>
      </w:pPr>
      <w:r>
        <w:rPr>
          <w:rFonts w:ascii="Microsoft YaHei" w:hAnsi="Microsoft YaHei" w:eastAsia="Microsoft YaHei"/>
          <w:b w:val="0"/>
          <w:color w:val="263640"/>
          <w:sz w:val="19"/>
        </w:rPr>
        <w:t>Harness 是 Agent 的运行系统，负责组织模型、工具、Context、Session、权限与执行环境。</w:t>
      </w:r>
    </w:p>
    <w:p>
      <w:pPr>
        <w:pStyle w:val="ListBullet"/>
        <w:spacing w:after="60" w:line="264" w:lineRule="auto"/>
      </w:pPr>
      <w:r>
        <w:rPr>
          <w:rFonts w:ascii="Microsoft YaHei" w:hAnsi="Microsoft YaHei" w:eastAsia="Microsoft YaHei"/>
          <w:b w:val="0"/>
          <w:color w:val="263640"/>
          <w:sz w:val="19"/>
        </w:rPr>
        <w:t>Agent 是围绕既定目标持续执行任务的整体，由模型、Harness、角色规则及当前任务状态共同构成。</w:t>
      </w:r>
    </w:p>
    <w:p>
      <w:pPr>
        <w:pStyle w:val="ListBullet"/>
        <w:spacing w:after="60" w:line="264" w:lineRule="auto"/>
      </w:pPr>
      <w:r>
        <w:rPr>
          <w:rFonts w:ascii="Microsoft YaHei" w:hAnsi="Microsoft YaHei" w:eastAsia="Microsoft YaHei"/>
          <w:b w:val="0"/>
          <w:color w:val="263640"/>
          <w:sz w:val="19"/>
        </w:rPr>
        <w:t>DeepSeek Harness 将 Agent Loop、Session、Sandbox 与 UI 等核心能力设计为可组合或可替换的插件。</w:t>
      </w:r>
    </w:p>
    <w:p>
      <w:pPr>
        <w:pStyle w:val="ListBullet"/>
        <w:spacing w:after="60" w:line="264" w:lineRule="auto"/>
      </w:pPr>
      <w:r>
        <w:rPr>
          <w:rFonts w:ascii="Microsoft YaHei" w:hAnsi="Microsoft YaHei" w:eastAsia="Microsoft YaHei"/>
          <w:b w:val="0"/>
          <w:color w:val="263640"/>
          <w:sz w:val="19"/>
        </w:rPr>
        <w:t>Harness Desktop 是 DSH 的桌面启动与管理工具，用于简化安装、服务运行、插件安装及日常维护。</w:t>
      </w:r>
    </w:p>
    <w:p>
      <w:pPr>
        <w:pStyle w:val="Heading2"/>
        <w:keepNext/>
        <w:spacing w:before="140" w:after="80"/>
      </w:pPr>
      <w:r>
        <w:rPr>
          <w:rFonts w:ascii="Microsoft YaHei" w:hAnsi="Microsoft YaHei" w:eastAsia="Microsoft YaHei"/>
          <w:b/>
          <w:color w:val="000000"/>
          <w:sz w:val="25"/>
        </w:rPr>
        <w:t>文档内容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18"/>
        <w:gridCol w:w="5018"/>
      </w:tblGrid>
      <w:tr>
        <w:trPr>
          <w:tblHeader w:val="true"/>
          <w:tblHeader w:val="true"/>
          <w:cantSplit/>
        </w:trPr>
        <w:tc>
          <w:tcPr>
            <w:tcW w:type="dxa" w:w="1728"/>
            <w:shd w:fill="183B5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before="0" w:line="259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部分</w:t>
            </w:r>
          </w:p>
        </w:tc>
        <w:tc>
          <w:tcPr>
            <w:tcW w:type="dxa" w:w="8021"/>
            <w:shd w:fill="183B5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before="0" w:line="259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主要内容</w:t>
            </w:r>
          </w:p>
        </w:tc>
      </w:tr>
      <w:tr>
        <w:trPr>
          <w:cantSplit/>
        </w:trPr>
        <w:tc>
          <w:tcPr>
            <w:tcW w:type="dxa" w:w="1728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59" w:lineRule="auto" w:before="0"/>
              <w:jc w:val="center"/>
            </w:pPr>
            <w:r>
              <w:rPr>
                <w:rFonts w:ascii="Microsoft YaHei" w:hAnsi="Microsoft YaHei" w:eastAsia="Microsoft YaHei"/>
                <w:b w:val="0"/>
                <w:color w:val="263640"/>
                <w:sz w:val="16"/>
              </w:rPr>
              <w:t>概念</w:t>
            </w:r>
          </w:p>
        </w:tc>
        <w:tc>
          <w:tcPr>
            <w:tcW w:type="dxa" w:w="8021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59" w:lineRule="auto" w:before="0"/>
              <w:jc w:val="left"/>
            </w:pPr>
            <w:r>
              <w:rPr>
                <w:rFonts w:ascii="Microsoft YaHei" w:hAnsi="Microsoft YaHei" w:eastAsia="Microsoft YaHei"/>
                <w:b w:val="0"/>
                <w:color w:val="263640"/>
                <w:sz w:val="16"/>
              </w:rPr>
              <w:t>Harness 的产生背景及其与 Model 和 Agent 的关系</w:t>
            </w:r>
          </w:p>
        </w:tc>
      </w:tr>
      <w:tr>
        <w:trPr>
          <w:cantSplit/>
        </w:trPr>
        <w:tc>
          <w:tcPr>
            <w:tcW w:type="dxa" w:w="1728"/>
            <w:shd w:fill="F3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59" w:lineRule="auto" w:before="0"/>
              <w:jc w:val="center"/>
            </w:pPr>
            <w:r>
              <w:rPr>
                <w:rFonts w:ascii="Microsoft YaHei" w:hAnsi="Microsoft YaHei" w:eastAsia="Microsoft YaHei"/>
                <w:b w:val="0"/>
                <w:color w:val="263640"/>
                <w:sz w:val="16"/>
              </w:rPr>
              <w:t>原理</w:t>
            </w:r>
          </w:p>
        </w:tc>
        <w:tc>
          <w:tcPr>
            <w:tcW w:type="dxa" w:w="8021"/>
            <w:shd w:fill="F3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59" w:lineRule="auto" w:before="0"/>
              <w:jc w:val="left"/>
            </w:pPr>
            <w:r>
              <w:rPr>
                <w:rFonts w:ascii="Microsoft YaHei" w:hAnsi="Microsoft YaHei" w:eastAsia="Microsoft YaHei"/>
                <w:b w:val="0"/>
                <w:color w:val="263640"/>
                <w:sz w:val="16"/>
              </w:rPr>
              <w:t>Agent Loop、Context、Session、Tool 与 Sandbox 的协作机制</w:t>
            </w:r>
          </w:p>
        </w:tc>
      </w:tr>
      <w:tr>
        <w:trPr>
          <w:cantSplit/>
        </w:trPr>
        <w:tc>
          <w:tcPr>
            <w:tcW w:type="dxa" w:w="1728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59" w:lineRule="auto" w:before="0"/>
              <w:jc w:val="center"/>
            </w:pPr>
            <w:r>
              <w:rPr>
                <w:rFonts w:ascii="Microsoft YaHei" w:hAnsi="Microsoft YaHei" w:eastAsia="Microsoft YaHei"/>
                <w:b w:val="0"/>
                <w:color w:val="263640"/>
                <w:sz w:val="16"/>
              </w:rPr>
              <w:t>DSH</w:t>
            </w:r>
          </w:p>
        </w:tc>
        <w:tc>
          <w:tcPr>
            <w:tcW w:type="dxa" w:w="8021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59" w:lineRule="auto" w:before="0"/>
              <w:jc w:val="left"/>
            </w:pPr>
            <w:r>
              <w:rPr>
                <w:rFonts w:ascii="Microsoft YaHei" w:hAnsi="Microsoft YaHei" w:eastAsia="Microsoft YaHei"/>
                <w:b w:val="0"/>
                <w:color w:val="263640"/>
                <w:sz w:val="16"/>
              </w:rPr>
              <w:t>Cordis、Plugin、Profile、Bundle 与 Patch 的运行时结构</w:t>
            </w:r>
          </w:p>
        </w:tc>
      </w:tr>
      <w:tr>
        <w:trPr>
          <w:cantSplit/>
        </w:trPr>
        <w:tc>
          <w:tcPr>
            <w:tcW w:type="dxa" w:w="1728"/>
            <w:shd w:fill="F3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59" w:lineRule="auto" w:before="0"/>
              <w:jc w:val="center"/>
            </w:pPr>
            <w:r>
              <w:rPr>
                <w:rFonts w:ascii="Microsoft YaHei" w:hAnsi="Microsoft YaHei" w:eastAsia="Microsoft YaHei"/>
                <w:b w:val="0"/>
                <w:color w:val="263640"/>
                <w:sz w:val="16"/>
              </w:rPr>
              <w:t>产品比较</w:t>
            </w:r>
          </w:p>
        </w:tc>
        <w:tc>
          <w:tcPr>
            <w:tcW w:type="dxa" w:w="8021"/>
            <w:shd w:fill="F3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59" w:lineRule="auto" w:before="0"/>
              <w:jc w:val="left"/>
            </w:pPr>
            <w:r>
              <w:rPr>
                <w:rFonts w:ascii="Microsoft YaHei" w:hAnsi="Microsoft YaHei" w:eastAsia="Microsoft YaHei"/>
                <w:b w:val="0"/>
                <w:color w:val="263640"/>
                <w:sz w:val="16"/>
              </w:rPr>
              <w:t>WorkBuddy、Cursor、Claude Code、Codex 与 DSH 的定位差异</w:t>
            </w:r>
          </w:p>
        </w:tc>
      </w:tr>
      <w:tr>
        <w:trPr>
          <w:cantSplit/>
        </w:trPr>
        <w:tc>
          <w:tcPr>
            <w:tcW w:type="dxa" w:w="1728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after="0" w:line="259" w:lineRule="auto" w:before="0"/>
              <w:jc w:val="center"/>
            </w:pPr>
            <w:r>
              <w:rPr>
                <w:rFonts w:ascii="Microsoft YaHei" w:hAnsi="Microsoft YaHei" w:eastAsia="Microsoft YaHei"/>
                <w:b w:val="0"/>
                <w:color w:val="263640"/>
                <w:sz w:val="16"/>
              </w:rPr>
              <w:t>操作说明</w:t>
            </w:r>
          </w:p>
        </w:tc>
        <w:tc>
          <w:tcPr>
            <w:tcW w:type="dxa" w:w="8021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263640"/>
                <w:sz w:val="16"/>
              </w:rPr>
              <w:t>Harness Desktop 的安装、启动、更新、日志查看、插件安装与插件开发要求</w:t>
            </w:r>
          </w:p>
        </w:tc>
      </w:tr>
    </w:tbl>
    <w:p>
      <w:pPr>
        <w:spacing w:after="0"/>
      </w:pPr>
    </w:p>
    <w:p>
      <w:pPr>
        <w:spacing w:after="100" w:line="283" w:lineRule="auto"/>
      </w:pPr>
      <w:r>
        <w:rPr>
          <w:rFonts w:ascii="Microsoft YaHei" w:hAnsi="Microsoft YaHei" w:eastAsia="Microsoft YaHei"/>
          <w:b w:val="0"/>
          <w:color w:val="606A73"/>
          <w:sz w:val="19"/>
        </w:rPr>
        <w:t>如需进行产品选型，可重点阅读第五部分；如需理解运行机制，建议从第一部分开始顺序阅读。</w:t>
      </w:r>
    </w:p>
    <w:p>
      <w:r>
        <w:br w:type="page"/>
      </w:r>
    </w:p>
    <w:p>
      <w:pPr>
        <w:spacing w:after="0" w:line="560" w:lineRule="exact"/>
      </w:pPr>
      <w:r>
        <w:rPr>
          <w:rFonts w:ascii="Microsoft YaHei" w:hAnsi="Microsoft YaHei" w:eastAsia="Microsoft YaHei"/>
          <w:b w:val="0"/>
          <w:color w:val="FFFFFF"/>
          <w:sz w:val="16"/>
        </w:rPr>
        <w:t xml:space="preserve"> </w:t>
      </w:r>
    </w:p>
    <w:p>
      <w:pPr>
        <w:spacing w:after="20"/>
      </w:pPr>
      <w:r>
        <w:rPr>
          <w:rFonts w:ascii="Microsoft YaHei" w:hAnsi="Microsoft YaHei" w:eastAsia="Microsoft YaHei"/>
          <w:b/>
          <w:color w:val="1F6FA8"/>
          <w:sz w:val="17"/>
        </w:rPr>
        <w:t>第一部分 基本概念</w:t>
      </w:r>
    </w:p>
    <w:p>
      <w:pPr>
        <w:pStyle w:val="Heading1"/>
        <w:keepNext/>
        <w:spacing w:after="140"/>
      </w:pPr>
      <w:r>
        <w:rPr>
          <w:rFonts w:ascii="Microsoft YaHei" w:hAnsi="Microsoft YaHei" w:eastAsia="Microsoft YaHei"/>
          <w:b/>
          <w:color w:val="000000"/>
          <w:sz w:val="38"/>
        </w:rPr>
        <w:t>Harness 的定义与作用</w:t>
      </w:r>
    </w:p>
    <w:p>
      <w:pPr>
        <w:spacing w:after="100" w:line="283" w:lineRule="auto"/>
      </w:pPr>
      <w:r>
        <w:rPr>
          <w:rFonts w:ascii="Microsoft YaHei" w:hAnsi="Microsoft YaHei" w:eastAsia="Microsoft YaHei"/>
          <w:b w:val="0"/>
          <w:color w:val="263640"/>
          <w:sz w:val="22"/>
        </w:rPr>
        <w:t>Harness 是将模型能力组织为持续任务执行能力的运行系统。它负责向模型提供必要信息，调用外部工具，记录任务状态，并依据结果继续调度后续步骤。</w:t>
      </w:r>
    </w:p>
    <w:p>
      <w:pPr>
        <w:spacing w:after="100" w:line="283" w:lineRule="auto"/>
      </w:pPr>
      <w:r>
        <w:rPr>
          <w:rFonts w:ascii="Microsoft YaHei" w:hAnsi="Microsoft YaHei" w:eastAsia="Microsoft YaHei"/>
          <w:b w:val="0"/>
          <w:color w:val="263640"/>
          <w:sz w:val="20"/>
        </w:rPr>
        <w:t>聊天模型通常完成单次输入与输出。实际业务任务还涉及资料检索、工具调用、结果校验、错误处理和成果交付。Harness 将这些活动组织为可重复、可记录且受控制的执行过程。</w:t>
      </w:r>
    </w:p>
    <w:p>
      <w:pPr>
        <w:pStyle w:val="Heading2"/>
        <w:keepNext/>
        <w:spacing w:before="140" w:after="80"/>
      </w:pPr>
      <w:r>
        <w:rPr>
          <w:rFonts w:ascii="Microsoft YaHei" w:hAnsi="Microsoft YaHei" w:eastAsia="Microsoft YaHei"/>
          <w:b/>
          <w:color w:val="000000"/>
          <w:sz w:val="25"/>
        </w:rPr>
        <w:t>模型的能力边界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18"/>
        <w:gridCol w:w="5018"/>
      </w:tblGrid>
      <w:tr>
        <w:trPr>
          <w:tblHeader w:val="true"/>
        </w:trPr>
        <w:tc>
          <w:tcPr>
            <w:tcW w:type="dxa" w:w="4819"/>
            <w:shd w:fill="183B56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模型可提供的能力</w:t>
            </w:r>
          </w:p>
        </w:tc>
        <w:tc>
          <w:tcPr>
            <w:tcW w:type="dxa" w:w="4989"/>
            <w:shd w:fill="183B56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模型不能独立完成的事项</w:t>
            </w:r>
          </w:p>
        </w:tc>
      </w:tr>
      <w:tr>
        <w:tc>
          <w:tcPr>
            <w:tcW w:type="dxa" w:w="4819"/>
            <w:shd w:fill="FFFFFF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263640"/>
                <w:sz w:val="18"/>
              </w:rPr>
              <w:t>理解语言、推理、生成文字或结构化指令</w:t>
            </w:r>
          </w:p>
        </w:tc>
        <w:tc>
          <w:tcPr>
            <w:tcW w:type="dxa" w:w="4989"/>
            <w:shd w:fill="FFFFFF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263640"/>
                <w:sz w:val="18"/>
              </w:rPr>
              <w:t>读取本机文件、运行程序、访问企业系统</w:t>
            </w:r>
          </w:p>
        </w:tc>
      </w:tr>
      <w:tr>
        <w:tc>
          <w:tcPr>
            <w:tcW w:type="dxa" w:w="4819"/>
            <w:shd w:fill="EAF4FA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263640"/>
                <w:sz w:val="18"/>
              </w:rPr>
              <w:t>根据当前输入给出判断</w:t>
            </w:r>
          </w:p>
        </w:tc>
        <w:tc>
          <w:tcPr>
            <w:tcW w:type="dxa" w:w="4989"/>
            <w:shd w:fill="EAF4FA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63640"/>
                <w:sz w:val="18"/>
              </w:rPr>
              <w:t>保存完整任务状态、跨步骤恢复</w:t>
            </w:r>
          </w:p>
        </w:tc>
      </w:tr>
      <w:tr>
        <w:tc>
          <w:tcPr>
            <w:tcW w:type="dxa" w:w="4819"/>
            <w:shd w:fill="FFFFFF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263640"/>
                <w:sz w:val="18"/>
              </w:rPr>
              <w:t>提出后续行动建议</w:t>
            </w:r>
          </w:p>
        </w:tc>
        <w:tc>
          <w:tcPr>
            <w:tcW w:type="dxa" w:w="4989"/>
            <w:shd w:fill="FFFFFF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63640"/>
                <w:sz w:val="18"/>
              </w:rPr>
              <w:t>执行行动并验证结果</w:t>
            </w:r>
          </w:p>
        </w:tc>
      </w:tr>
    </w:tbl>
    <w:p>
      <w:pPr>
        <w:spacing w:after="0"/>
      </w:pPr>
    </w:p>
    <w:p>
      <w:pPr>
        <w:pStyle w:val="Heading2"/>
        <w:keepNext/>
        <w:spacing w:before="140" w:after="80"/>
      </w:pPr>
      <w:r>
        <w:rPr>
          <w:rFonts w:ascii="Microsoft YaHei" w:hAnsi="Microsoft YaHei" w:eastAsia="Microsoft YaHei"/>
          <w:b/>
          <w:color w:val="000000"/>
          <w:sz w:val="25"/>
        </w:rPr>
        <w:t>Harness 提供的主要能力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45"/>
        <w:gridCol w:w="3345"/>
        <w:gridCol w:w="3345"/>
      </w:tblGrid>
      <w:tr>
        <w:trPr>
          <w:tblHeader w:val="true"/>
        </w:trPr>
        <w:tc>
          <w:tcPr>
            <w:tcW w:type="dxa" w:w="1757"/>
            <w:shd w:fill="183B56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能力</w:t>
            </w:r>
          </w:p>
        </w:tc>
        <w:tc>
          <w:tcPr>
            <w:tcW w:type="dxa" w:w="2494"/>
            <w:shd w:fill="183B56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功能说明</w:t>
            </w:r>
          </w:p>
        </w:tc>
        <w:tc>
          <w:tcPr>
            <w:tcW w:type="dxa" w:w="5556"/>
            <w:shd w:fill="183B56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示例</w:t>
            </w:r>
          </w:p>
        </w:tc>
      </w:tr>
      <w:tr>
        <w:tc>
          <w:tcPr>
            <w:tcW w:type="dxa" w:w="1757"/>
            <w:shd w:fill="FFFFFF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263640"/>
                <w:sz w:val="17"/>
              </w:rPr>
              <w:t>Agent Loop</w:t>
            </w:r>
          </w:p>
        </w:tc>
        <w:tc>
          <w:tcPr>
            <w:tcW w:type="dxa" w:w="2494"/>
            <w:shd w:fill="FFFFFF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63640"/>
                <w:sz w:val="17"/>
              </w:rPr>
              <w:t>循环调度任务步骤</w:t>
            </w:r>
          </w:p>
        </w:tc>
        <w:tc>
          <w:tcPr>
            <w:tcW w:type="dxa" w:w="5556"/>
            <w:shd w:fill="FFFFFF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63640"/>
                <w:sz w:val="17"/>
              </w:rPr>
              <w:t>判断是否继续调用工具或结束任务</w:t>
            </w:r>
          </w:p>
        </w:tc>
      </w:tr>
      <w:tr>
        <w:tc>
          <w:tcPr>
            <w:tcW w:type="dxa" w:w="1757"/>
            <w:shd w:fill="EAF4FA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263640"/>
                <w:sz w:val="17"/>
              </w:rPr>
              <w:t>Context</w:t>
            </w:r>
          </w:p>
        </w:tc>
        <w:tc>
          <w:tcPr>
            <w:tcW w:type="dxa" w:w="2494"/>
            <w:shd w:fill="EAF4FA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63640"/>
                <w:sz w:val="17"/>
              </w:rPr>
              <w:t>组织本次模型调用所需信息</w:t>
            </w:r>
          </w:p>
        </w:tc>
        <w:tc>
          <w:tcPr>
            <w:tcW w:type="dxa" w:w="5556"/>
            <w:shd w:fill="EAF4FA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63640"/>
                <w:sz w:val="17"/>
              </w:rPr>
              <w:t>当前问题、相关文件与工具说明</w:t>
            </w:r>
          </w:p>
        </w:tc>
      </w:tr>
      <w:tr>
        <w:tc>
          <w:tcPr>
            <w:tcW w:type="dxa" w:w="1757"/>
            <w:shd w:fill="FFFFFF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263640"/>
                <w:sz w:val="17"/>
              </w:rPr>
              <w:t>Session</w:t>
            </w:r>
          </w:p>
        </w:tc>
        <w:tc>
          <w:tcPr>
            <w:tcW w:type="dxa" w:w="2494"/>
            <w:shd w:fill="FFFFFF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63640"/>
                <w:sz w:val="17"/>
              </w:rPr>
              <w:t>保存任务事件与状态</w:t>
            </w:r>
          </w:p>
        </w:tc>
        <w:tc>
          <w:tcPr>
            <w:tcW w:type="dxa" w:w="5556"/>
            <w:shd w:fill="FFFFFF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63640"/>
                <w:sz w:val="17"/>
              </w:rPr>
              <w:t>记录各步骤的输入、输出与结果</w:t>
            </w:r>
          </w:p>
        </w:tc>
      </w:tr>
      <w:tr>
        <w:tc>
          <w:tcPr>
            <w:tcW w:type="dxa" w:w="1757"/>
            <w:shd w:fill="EAF4FA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263640"/>
                <w:sz w:val="17"/>
              </w:rPr>
              <w:t>Tool Runtime</w:t>
            </w:r>
          </w:p>
        </w:tc>
        <w:tc>
          <w:tcPr>
            <w:tcW w:type="dxa" w:w="2494"/>
            <w:shd w:fill="EAF4FA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63640"/>
                <w:sz w:val="17"/>
              </w:rPr>
              <w:t>执行外部操作</w:t>
            </w:r>
          </w:p>
        </w:tc>
        <w:tc>
          <w:tcPr>
            <w:tcW w:type="dxa" w:w="5556"/>
            <w:shd w:fill="EAF4FA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263640"/>
                <w:sz w:val="17"/>
              </w:rPr>
              <w:t>读取文件、运行终端、访问 API 或 MCP</w:t>
            </w:r>
          </w:p>
        </w:tc>
      </w:tr>
      <w:tr>
        <w:tc>
          <w:tcPr>
            <w:tcW w:type="dxa" w:w="1757"/>
            <w:shd w:fill="FFFFFF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263640"/>
                <w:sz w:val="17"/>
              </w:rPr>
              <w:t>Permission</w:t>
            </w:r>
          </w:p>
        </w:tc>
        <w:tc>
          <w:tcPr>
            <w:tcW w:type="dxa" w:w="2494"/>
            <w:shd w:fill="FFFFFF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63640"/>
                <w:sz w:val="17"/>
              </w:rPr>
              <w:t>实施权限检查与审批</w:t>
            </w:r>
          </w:p>
        </w:tc>
        <w:tc>
          <w:tcPr>
            <w:tcW w:type="dxa" w:w="5556"/>
            <w:shd w:fill="FFFFFF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63640"/>
                <w:sz w:val="17"/>
              </w:rPr>
              <w:t>在高风险操作前要求确认</w:t>
            </w:r>
          </w:p>
        </w:tc>
      </w:tr>
      <w:tr>
        <w:tc>
          <w:tcPr>
            <w:tcW w:type="dxa" w:w="1757"/>
            <w:shd w:fill="EAF4FA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263640"/>
                <w:sz w:val="17"/>
              </w:rPr>
              <w:t>Sandbox</w:t>
            </w:r>
          </w:p>
        </w:tc>
        <w:tc>
          <w:tcPr>
            <w:tcW w:type="dxa" w:w="2494"/>
            <w:shd w:fill="EAF4FA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63640"/>
                <w:sz w:val="17"/>
              </w:rPr>
              <w:t>限制执行环境与影响范围</w:t>
            </w:r>
          </w:p>
        </w:tc>
        <w:tc>
          <w:tcPr>
            <w:tcW w:type="dxa" w:w="5556"/>
            <w:shd w:fill="EAF4FA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63640"/>
                <w:sz w:val="17"/>
              </w:rPr>
              <w:t>仅允许命令在指定工作区内运行</w:t>
            </w:r>
          </w:p>
        </w:tc>
      </w:tr>
      <w:tr>
        <w:tc>
          <w:tcPr>
            <w:tcW w:type="dxa" w:w="1757"/>
            <w:shd w:fill="FFFFFF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263640"/>
                <w:sz w:val="17"/>
              </w:rPr>
              <w:t>Model Adapter</w:t>
            </w:r>
          </w:p>
        </w:tc>
        <w:tc>
          <w:tcPr>
            <w:tcW w:type="dxa" w:w="2494"/>
            <w:shd w:fill="FFFFFF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63640"/>
                <w:sz w:val="17"/>
              </w:rPr>
              <w:t>连接不同模型服务</w:t>
            </w:r>
          </w:p>
        </w:tc>
        <w:tc>
          <w:tcPr>
            <w:tcW w:type="dxa" w:w="5556"/>
            <w:shd w:fill="FFFFFF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263640"/>
                <w:sz w:val="17"/>
              </w:rPr>
              <w:t>接入 DeepSeek、Claude 或 GPT 等模型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spacing w:after="0" w:line="560" w:lineRule="exact"/>
      </w:pPr>
      <w:r>
        <w:rPr>
          <w:rFonts w:ascii="Microsoft YaHei" w:hAnsi="Microsoft YaHei" w:eastAsia="Microsoft YaHei"/>
          <w:b w:val="0"/>
          <w:color w:val="FFFFFF"/>
          <w:sz w:val="16"/>
        </w:rPr>
        <w:t xml:space="preserve"> </w:t>
      </w:r>
    </w:p>
    <w:p>
      <w:pPr>
        <w:spacing w:after="20"/>
      </w:pPr>
      <w:r>
        <w:rPr>
          <w:rFonts w:ascii="Microsoft YaHei" w:hAnsi="Microsoft YaHei" w:eastAsia="Microsoft YaHei"/>
          <w:b/>
          <w:color w:val="1F6FA8"/>
          <w:sz w:val="17"/>
        </w:rPr>
        <w:t>第一部分 基本概念</w:t>
      </w:r>
    </w:p>
    <w:p>
      <w:pPr>
        <w:pStyle w:val="Heading1"/>
        <w:keepNext/>
        <w:spacing w:after="140"/>
      </w:pPr>
      <w:r>
        <w:rPr>
          <w:rFonts w:ascii="Microsoft YaHei" w:hAnsi="Microsoft YaHei" w:eastAsia="Microsoft YaHei"/>
          <w:b/>
          <w:color w:val="000000"/>
          <w:sz w:val="38"/>
        </w:rPr>
        <w:t>Model Agent Harness 与产品的关系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6336000" cy="346368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1_relationship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336000" cy="34636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/>
        <w:jc w:val="center"/>
      </w:pPr>
      <w:r>
        <w:rPr>
          <w:rFonts w:ascii="Microsoft YaHei" w:hAnsi="Microsoft YaHei" w:eastAsia="Microsoft YaHei"/>
          <w:b w:val="0"/>
          <w:color w:val="606A73"/>
          <w:sz w:val="17"/>
        </w:rPr>
        <w:t>图 1 产品 Agent Harness Model 与工具数据的层次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45"/>
        <w:gridCol w:w="3345"/>
        <w:gridCol w:w="3345"/>
      </w:tblGrid>
      <w:tr>
        <w:trPr>
          <w:tblHeader w:val="true"/>
        </w:trPr>
        <w:tc>
          <w:tcPr>
            <w:tcW w:type="dxa" w:w="1531"/>
            <w:shd w:fill="183B56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对象</w:t>
            </w:r>
          </w:p>
        </w:tc>
        <w:tc>
          <w:tcPr>
            <w:tcW w:type="dxa" w:w="4649"/>
            <w:shd w:fill="183B56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主要作用</w:t>
            </w:r>
          </w:p>
        </w:tc>
        <w:tc>
          <w:tcPr>
            <w:tcW w:type="dxa" w:w="3572"/>
            <w:shd w:fill="183B56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不等同于</w:t>
            </w:r>
          </w:p>
        </w:tc>
      </w:tr>
      <w:tr>
        <w:tc>
          <w:tcPr>
            <w:tcW w:type="dxa" w:w="1531"/>
            <w:shd w:fill="FFFFFF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263640"/>
                <w:sz w:val="17"/>
              </w:rPr>
              <w:t>Model</w:t>
            </w:r>
          </w:p>
        </w:tc>
        <w:tc>
          <w:tcPr>
            <w:tcW w:type="dxa" w:w="4649"/>
            <w:shd w:fill="FFFFFF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63640"/>
                <w:sz w:val="17"/>
              </w:rPr>
              <w:t>理解与判断能力</w:t>
            </w:r>
          </w:p>
        </w:tc>
        <w:tc>
          <w:tcPr>
            <w:tcW w:type="dxa" w:w="3572"/>
            <w:shd w:fill="FFFFFF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63640"/>
                <w:sz w:val="17"/>
              </w:rPr>
              <w:t>完整 Agent 产品</w:t>
            </w:r>
          </w:p>
        </w:tc>
      </w:tr>
      <w:tr>
        <w:tc>
          <w:tcPr>
            <w:tcW w:type="dxa" w:w="1531"/>
            <w:shd w:fill="EAF4FA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263640"/>
                <w:sz w:val="17"/>
              </w:rPr>
              <w:t>Harness</w:t>
            </w:r>
          </w:p>
        </w:tc>
        <w:tc>
          <w:tcPr>
            <w:tcW w:type="dxa" w:w="4649"/>
            <w:shd w:fill="EAF4FA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263640"/>
                <w:sz w:val="17"/>
              </w:rPr>
              <w:t>如何获得上下文、调用工具、循环和受控执行</w:t>
            </w:r>
          </w:p>
        </w:tc>
        <w:tc>
          <w:tcPr>
            <w:tcW w:type="dxa" w:w="3572"/>
            <w:shd w:fill="EAF4FA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63640"/>
                <w:sz w:val="17"/>
              </w:rPr>
              <w:t>某一个单独插件</w:t>
            </w:r>
          </w:p>
        </w:tc>
      </w:tr>
      <w:tr>
        <w:tc>
          <w:tcPr>
            <w:tcW w:type="dxa" w:w="1531"/>
            <w:shd w:fill="FFFFFF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263640"/>
                <w:sz w:val="17"/>
              </w:rPr>
              <w:t>Agent</w:t>
            </w:r>
          </w:p>
        </w:tc>
        <w:tc>
          <w:tcPr>
            <w:tcW w:type="dxa" w:w="4649"/>
            <w:shd w:fill="FFFFFF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63640"/>
                <w:sz w:val="17"/>
              </w:rPr>
              <w:t>围绕目标持续执行任务的整体行为</w:t>
            </w:r>
          </w:p>
        </w:tc>
        <w:tc>
          <w:tcPr>
            <w:tcW w:type="dxa" w:w="3572"/>
            <w:shd w:fill="FFFFFF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63640"/>
                <w:sz w:val="17"/>
              </w:rPr>
              <w:t>模型的单次输出</w:t>
            </w:r>
          </w:p>
        </w:tc>
      </w:tr>
      <w:tr>
        <w:tc>
          <w:tcPr>
            <w:tcW w:type="dxa" w:w="1531"/>
            <w:shd w:fill="EAF4FA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263640"/>
                <w:sz w:val="17"/>
              </w:rPr>
              <w:t>Product</w:t>
            </w:r>
          </w:p>
        </w:tc>
        <w:tc>
          <w:tcPr>
            <w:tcW w:type="dxa" w:w="4649"/>
            <w:shd w:fill="EAF4FA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263640"/>
                <w:sz w:val="17"/>
              </w:rPr>
              <w:t>面向用户的界面、工作流、服务与产品体验</w:t>
            </w:r>
          </w:p>
        </w:tc>
        <w:tc>
          <w:tcPr>
            <w:tcW w:type="dxa" w:w="3572"/>
            <w:shd w:fill="EAF4FA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63640"/>
                <w:sz w:val="17"/>
              </w:rPr>
              <w:t>底层模型本身</w:t>
            </w:r>
          </w:p>
        </w:tc>
      </w:tr>
    </w:tbl>
    <w:p>
      <w:pPr>
        <w:spacing w:after="0"/>
      </w:pPr>
    </w:p>
    <w:p>
      <w:pPr>
        <w:spacing w:after="100" w:line="283" w:lineRule="auto"/>
      </w:pPr>
      <w:r>
        <w:rPr>
          <w:rFonts w:ascii="Microsoft YaHei" w:hAnsi="Microsoft YaHei" w:eastAsia="Microsoft YaHei"/>
          <w:b w:val="0"/>
          <w:color w:val="263640"/>
          <w:sz w:val="19"/>
        </w:rPr>
        <w:t>同一模型在不同 Harness 中可能呈现明显不同的任务表现，主要原因包括工具能力、Context 选择、权限策略和循环调度机制的差异。</w:t>
      </w:r>
    </w:p>
    <w:p>
      <w:r>
        <w:br w:type="page"/>
      </w:r>
    </w:p>
    <w:p>
      <w:pPr>
        <w:spacing w:after="0" w:line="560" w:lineRule="exact"/>
      </w:pPr>
      <w:r>
        <w:rPr>
          <w:rFonts w:ascii="Microsoft YaHei" w:hAnsi="Microsoft YaHei" w:eastAsia="Microsoft YaHei"/>
          <w:b w:val="0"/>
          <w:color w:val="FFFFFF"/>
          <w:sz w:val="16"/>
        </w:rPr>
        <w:t xml:space="preserve"> </w:t>
      </w:r>
    </w:p>
    <w:p>
      <w:pPr>
        <w:spacing w:after="20"/>
      </w:pPr>
      <w:r>
        <w:rPr>
          <w:rFonts w:ascii="Microsoft YaHei" w:hAnsi="Microsoft YaHei" w:eastAsia="Microsoft YaHei"/>
          <w:b/>
          <w:color w:val="1F6FA8"/>
          <w:sz w:val="17"/>
        </w:rPr>
        <w:t>第二部分 运行原理</w:t>
      </w:r>
    </w:p>
    <w:p>
      <w:pPr>
        <w:pStyle w:val="Heading1"/>
        <w:keepNext/>
        <w:spacing w:after="140"/>
      </w:pPr>
      <w:r>
        <w:rPr>
          <w:rFonts w:ascii="Microsoft YaHei" w:hAnsi="Microsoft YaHei" w:eastAsia="Microsoft YaHei"/>
          <w:b/>
          <w:color w:val="000000"/>
          <w:sz w:val="38"/>
        </w:rPr>
        <w:t>Agent Loop 的运行机制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6336000" cy="346368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2_agent_loop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336000" cy="34636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/>
        <w:jc w:val="center"/>
      </w:pPr>
      <w:r>
        <w:rPr>
          <w:rFonts w:ascii="Microsoft YaHei" w:hAnsi="Microsoft YaHei" w:eastAsia="Microsoft YaHei"/>
          <w:b w:val="0"/>
          <w:color w:val="606A73"/>
          <w:sz w:val="17"/>
        </w:rPr>
        <w:t>图 2 Agent Loop 的一次 Turn 与多次 Step</w:t>
      </w:r>
    </w:p>
    <w:p>
      <w:pPr>
        <w:spacing w:after="100" w:line="283" w:lineRule="auto"/>
      </w:pPr>
      <w:r>
        <w:rPr>
          <w:rFonts w:ascii="Microsoft YaHei" w:hAnsi="Microsoft YaHei" w:eastAsia="Microsoft YaHei"/>
          <w:b w:val="0"/>
          <w:color w:val="263640"/>
          <w:sz w:val="20"/>
        </w:rPr>
        <w:t>一个 Step 包含一次模型请求及该请求触发的工具调用。一个 Turn 可由零个或多个 Step 组成，并在任务完成或被终止时结束。</w:t>
      </w:r>
    </w:p>
    <w:p>
      <w:pPr>
        <w:pStyle w:val="Heading2"/>
        <w:keepNext/>
        <w:spacing w:before="140" w:after="80"/>
      </w:pPr>
      <w:r>
        <w:rPr>
          <w:rFonts w:ascii="Microsoft YaHei" w:hAnsi="Microsoft YaHei" w:eastAsia="Microsoft YaHei"/>
          <w:b/>
          <w:color w:val="000000"/>
          <w:sz w:val="25"/>
        </w:rPr>
        <w:t>示例 报表合计差异排查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45"/>
        <w:gridCol w:w="3345"/>
        <w:gridCol w:w="3345"/>
      </w:tblGrid>
      <w:tr>
        <w:trPr>
          <w:tblHeader w:val="true"/>
        </w:trPr>
        <w:tc>
          <w:tcPr>
            <w:tcW w:type="dxa" w:w="1134"/>
            <w:shd w:fill="183B56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Step</w:t>
            </w:r>
          </w:p>
        </w:tc>
        <w:tc>
          <w:tcPr>
            <w:tcW w:type="dxa" w:w="3969"/>
            <w:shd w:fill="183B56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模型输出意图</w:t>
            </w:r>
          </w:p>
        </w:tc>
        <w:tc>
          <w:tcPr>
            <w:tcW w:type="dxa" w:w="4649"/>
            <w:shd w:fill="183B56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Harness 执行操作</w:t>
            </w:r>
          </w:p>
        </w:tc>
      </w:tr>
      <w:tr>
        <w:tc>
          <w:tcPr>
            <w:tcW w:type="dxa" w:w="1134"/>
            <w:shd w:fill="FFFFFF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263640"/>
                <w:sz w:val="17"/>
              </w:rPr>
              <w:t>1</w:t>
            </w:r>
          </w:p>
        </w:tc>
        <w:tc>
          <w:tcPr>
            <w:tcW w:type="dxa" w:w="3969"/>
            <w:shd w:fill="FFFFFF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63640"/>
                <w:sz w:val="17"/>
              </w:rPr>
              <w:t>查看文件结构</w:t>
            </w:r>
          </w:p>
        </w:tc>
        <w:tc>
          <w:tcPr>
            <w:tcW w:type="dxa" w:w="4649"/>
            <w:shd w:fill="FFFFFF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63640"/>
                <w:sz w:val="17"/>
              </w:rPr>
              <w:t>读取工作目录和表格元信息</w:t>
            </w:r>
          </w:p>
        </w:tc>
      </w:tr>
      <w:tr>
        <w:tc>
          <w:tcPr>
            <w:tcW w:type="dxa" w:w="1134"/>
            <w:shd w:fill="EAF4FA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263640"/>
                <w:sz w:val="17"/>
              </w:rPr>
              <w:t>2</w:t>
            </w:r>
          </w:p>
        </w:tc>
        <w:tc>
          <w:tcPr>
            <w:tcW w:type="dxa" w:w="3969"/>
            <w:shd w:fill="EAF4FA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63640"/>
                <w:sz w:val="17"/>
              </w:rPr>
              <w:t>找到金额列与汇总公式</w:t>
            </w:r>
          </w:p>
        </w:tc>
        <w:tc>
          <w:tcPr>
            <w:tcW w:type="dxa" w:w="4649"/>
            <w:shd w:fill="EAF4FA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63640"/>
                <w:sz w:val="17"/>
              </w:rPr>
              <w:t>读取相关单元格或脚本</w:t>
            </w:r>
          </w:p>
        </w:tc>
      </w:tr>
      <w:tr>
        <w:tc>
          <w:tcPr>
            <w:tcW w:type="dxa" w:w="1134"/>
            <w:shd w:fill="FFFFFF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263640"/>
                <w:sz w:val="17"/>
              </w:rPr>
              <w:t>3</w:t>
            </w:r>
          </w:p>
        </w:tc>
        <w:tc>
          <w:tcPr>
            <w:tcW w:type="dxa" w:w="3969"/>
            <w:shd w:fill="FFFFFF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63640"/>
                <w:sz w:val="17"/>
              </w:rPr>
              <w:t>怀疑筛选条件漏掉一类订单</w:t>
            </w:r>
          </w:p>
        </w:tc>
        <w:tc>
          <w:tcPr>
            <w:tcW w:type="dxa" w:w="4649"/>
            <w:shd w:fill="FFFFFF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63640"/>
                <w:sz w:val="17"/>
              </w:rPr>
              <w:t>运行校验或重新统计</w:t>
            </w:r>
          </w:p>
        </w:tc>
      </w:tr>
      <w:tr>
        <w:tc>
          <w:tcPr>
            <w:tcW w:type="dxa" w:w="1134"/>
            <w:shd w:fill="EAF4FA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263640"/>
                <w:sz w:val="17"/>
              </w:rPr>
              <w:t>4</w:t>
            </w:r>
          </w:p>
        </w:tc>
        <w:tc>
          <w:tcPr>
            <w:tcW w:type="dxa" w:w="3969"/>
            <w:shd w:fill="EAF4FA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63640"/>
                <w:sz w:val="17"/>
              </w:rPr>
              <w:t>结果证实差异来源</w:t>
            </w:r>
          </w:p>
        </w:tc>
        <w:tc>
          <w:tcPr>
            <w:tcW w:type="dxa" w:w="4649"/>
            <w:shd w:fill="EAF4FA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263640"/>
                <w:sz w:val="17"/>
              </w:rPr>
              <w:t>把过程与结果写入 Session</w:t>
            </w:r>
          </w:p>
        </w:tc>
      </w:tr>
      <w:tr>
        <w:tc>
          <w:tcPr>
            <w:tcW w:type="dxa" w:w="1134"/>
            <w:shd w:fill="FFFFFF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263640"/>
                <w:sz w:val="17"/>
              </w:rPr>
              <w:t>5</w:t>
            </w:r>
          </w:p>
        </w:tc>
        <w:tc>
          <w:tcPr>
            <w:tcW w:type="dxa" w:w="3969"/>
            <w:shd w:fill="FFFFFF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63640"/>
                <w:sz w:val="17"/>
              </w:rPr>
              <w:t>确认任务完成</w:t>
            </w:r>
          </w:p>
        </w:tc>
        <w:tc>
          <w:tcPr>
            <w:tcW w:type="dxa" w:w="4649"/>
            <w:shd w:fill="FFFFFF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263640"/>
                <w:sz w:val="17"/>
              </w:rPr>
              <w:t>生成原因说明、修正建议或更新后的文件</w:t>
            </w:r>
          </w:p>
        </w:tc>
      </w:tr>
    </w:tbl>
    <w:p>
      <w:pPr>
        <w:spacing w:after="0"/>
      </w:pPr>
    </w:p>
    <w:p>
      <w:pPr>
        <w:spacing w:after="100" w:line="283" w:lineRule="auto"/>
      </w:pPr>
      <w:r>
        <w:rPr>
          <w:rFonts w:ascii="Microsoft YaHei" w:hAnsi="Microsoft YaHei" w:eastAsia="Microsoft YaHei"/>
          <w:b w:val="0"/>
          <w:color w:val="263640"/>
          <w:sz w:val="19"/>
        </w:rPr>
        <w:t>模型不会直接访问本机文件系统。模型生成结构化的 Tool Call 后，Harness 负责检查权限、调用工具、收集执行结果，并将结果作为后续输入返回模型。</w:t>
      </w:r>
    </w:p>
    <w:p>
      <w:r>
        <w:br w:type="page"/>
      </w:r>
    </w:p>
    <w:p>
      <w:pPr>
        <w:spacing w:after="0" w:line="560" w:lineRule="exact"/>
      </w:pPr>
      <w:r>
        <w:rPr>
          <w:rFonts w:ascii="Microsoft YaHei" w:hAnsi="Microsoft YaHei" w:eastAsia="Microsoft YaHei"/>
          <w:b w:val="0"/>
          <w:color w:val="FFFFFF"/>
          <w:sz w:val="16"/>
        </w:rPr>
        <w:t xml:space="preserve"> </w:t>
      </w:r>
    </w:p>
    <w:p>
      <w:pPr>
        <w:spacing w:after="20"/>
      </w:pPr>
      <w:r>
        <w:rPr>
          <w:rFonts w:ascii="Microsoft YaHei" w:hAnsi="Microsoft YaHei" w:eastAsia="Microsoft YaHei"/>
          <w:b/>
          <w:color w:val="1F6FA8"/>
          <w:sz w:val="17"/>
        </w:rPr>
        <w:t>第三部分 DeepSeek Harness</w:t>
      </w:r>
    </w:p>
    <w:p>
      <w:pPr>
        <w:pStyle w:val="Heading1"/>
        <w:keepNext/>
        <w:spacing w:after="140"/>
      </w:pPr>
      <w:r>
        <w:rPr>
          <w:rFonts w:ascii="Microsoft YaHei" w:hAnsi="Microsoft YaHei" w:eastAsia="Microsoft YaHei"/>
          <w:b/>
          <w:color w:val="000000"/>
          <w:sz w:val="38"/>
        </w:rPr>
        <w:t>DeepSeek Harness 插件化架构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6336000" cy="346368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3_dsh_architectur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336000" cy="34636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/>
        <w:jc w:val="center"/>
      </w:pPr>
      <w:r>
        <w:rPr>
          <w:rFonts w:ascii="Microsoft YaHei" w:hAnsi="Microsoft YaHei" w:eastAsia="Microsoft YaHei"/>
          <w:b w:val="0"/>
          <w:color w:val="606A73"/>
          <w:sz w:val="17"/>
        </w:rPr>
        <w:t>图 3 Cordis 与核心服务的装配关系</w:t>
      </w:r>
    </w:p>
    <w:p>
      <w:pPr>
        <w:spacing w:after="100" w:line="283" w:lineRule="auto"/>
      </w:pPr>
      <w:r>
        <w:rPr>
          <w:rFonts w:ascii="Microsoft YaHei" w:hAnsi="Microsoft YaHei" w:eastAsia="Microsoft YaHei"/>
          <w:b w:val="0"/>
          <w:color w:val="263640"/>
          <w:sz w:val="20"/>
        </w:rPr>
        <w:t>Cordis 是 DSH 的插件运行基础设施，负责服务注册、依赖注入、类型化事件及插件生命周期管理。各插件通过共享 Context 提供稳定服务，其他插件依赖服务接口，而不直接绑定具体实现。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45"/>
        <w:gridCol w:w="3345"/>
        <w:gridCol w:w="3345"/>
      </w:tblGrid>
      <w:tr>
        <w:trPr>
          <w:tblHeader w:val="true"/>
        </w:trPr>
        <w:tc>
          <w:tcPr>
            <w:tcW w:type="dxa" w:w="1928"/>
            <w:shd w:fill="183B56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服务或概念</w:t>
            </w:r>
          </w:p>
        </w:tc>
        <w:tc>
          <w:tcPr>
            <w:tcW w:type="dxa" w:w="2268"/>
            <w:shd w:fill="183B56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功能定位</w:t>
            </w:r>
          </w:p>
        </w:tc>
        <w:tc>
          <w:tcPr>
            <w:tcW w:type="dxa" w:w="5556"/>
            <w:shd w:fill="183B56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主要职责</w:t>
            </w:r>
          </w:p>
        </w:tc>
      </w:tr>
      <w:tr>
        <w:tc>
          <w:tcPr>
            <w:tcW w:type="dxa" w:w="1928"/>
            <w:shd w:fill="FFFFFF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263640"/>
                <w:sz w:val="17"/>
              </w:rPr>
              <w:t>ctx.llm</w:t>
            </w:r>
          </w:p>
        </w:tc>
        <w:tc>
          <w:tcPr>
            <w:tcW w:type="dxa" w:w="2268"/>
            <w:shd w:fill="FFFFFF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63640"/>
                <w:sz w:val="17"/>
              </w:rPr>
              <w:t>模型适配服务</w:t>
            </w:r>
          </w:p>
        </w:tc>
        <w:tc>
          <w:tcPr>
            <w:tcW w:type="dxa" w:w="5556"/>
            <w:shd w:fill="FFFFFF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63640"/>
                <w:sz w:val="17"/>
              </w:rPr>
              <w:t>连接具体模型并处理流式输出</w:t>
            </w:r>
          </w:p>
        </w:tc>
      </w:tr>
      <w:tr>
        <w:tc>
          <w:tcPr>
            <w:tcW w:type="dxa" w:w="1928"/>
            <w:shd w:fill="EAF4FA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263640"/>
                <w:sz w:val="17"/>
              </w:rPr>
              <w:t>ctx.tools</w:t>
            </w:r>
          </w:p>
        </w:tc>
        <w:tc>
          <w:tcPr>
            <w:tcW w:type="dxa" w:w="2268"/>
            <w:shd w:fill="EAF4FA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63640"/>
                <w:sz w:val="17"/>
              </w:rPr>
              <w:t>工具管理服务</w:t>
            </w:r>
          </w:p>
        </w:tc>
        <w:tc>
          <w:tcPr>
            <w:tcW w:type="dxa" w:w="5556"/>
            <w:shd w:fill="EAF4FA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63640"/>
                <w:sz w:val="17"/>
              </w:rPr>
              <w:t>注册、检查并执行工具</w:t>
            </w:r>
          </w:p>
        </w:tc>
      </w:tr>
      <w:tr>
        <w:tc>
          <w:tcPr>
            <w:tcW w:type="dxa" w:w="1928"/>
            <w:shd w:fill="FFFFFF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263640"/>
                <w:sz w:val="17"/>
              </w:rPr>
              <w:t>ctx.sessions</w:t>
            </w:r>
          </w:p>
        </w:tc>
        <w:tc>
          <w:tcPr>
            <w:tcW w:type="dxa" w:w="2268"/>
            <w:shd w:fill="FFFFFF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63640"/>
                <w:sz w:val="17"/>
              </w:rPr>
              <w:t>会话记录服务</w:t>
            </w:r>
          </w:p>
        </w:tc>
        <w:tc>
          <w:tcPr>
            <w:tcW w:type="dxa" w:w="5556"/>
            <w:shd w:fill="FFFFFF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263640"/>
                <w:sz w:val="17"/>
              </w:rPr>
              <w:t>保存追加式 SessionEvent</w:t>
            </w:r>
          </w:p>
        </w:tc>
      </w:tr>
      <w:tr>
        <w:tc>
          <w:tcPr>
            <w:tcW w:type="dxa" w:w="1928"/>
            <w:shd w:fill="EAF4FA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263640"/>
                <w:sz w:val="17"/>
              </w:rPr>
              <w:t>ctx.systemPrompt</w:t>
            </w:r>
          </w:p>
        </w:tc>
        <w:tc>
          <w:tcPr>
            <w:tcW w:type="dxa" w:w="2268"/>
            <w:shd w:fill="EAF4FA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63640"/>
                <w:sz w:val="17"/>
              </w:rPr>
              <w:t>系统提示构建服务</w:t>
            </w:r>
          </w:p>
        </w:tc>
        <w:tc>
          <w:tcPr>
            <w:tcW w:type="dxa" w:w="5556"/>
            <w:shd w:fill="EAF4FA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63640"/>
                <w:sz w:val="17"/>
              </w:rPr>
              <w:t>组装规则、角色与工具说明</w:t>
            </w:r>
          </w:p>
        </w:tc>
      </w:tr>
      <w:tr>
        <w:tc>
          <w:tcPr>
            <w:tcW w:type="dxa" w:w="1928"/>
            <w:shd w:fill="FFFFFF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263640"/>
                <w:sz w:val="17"/>
              </w:rPr>
              <w:t>ctx.agents</w:t>
            </w:r>
          </w:p>
        </w:tc>
        <w:tc>
          <w:tcPr>
            <w:tcW w:type="dxa" w:w="2268"/>
            <w:shd w:fill="FFFFFF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63640"/>
                <w:sz w:val="17"/>
              </w:rPr>
              <w:t>Agent 管理服务</w:t>
            </w:r>
          </w:p>
        </w:tc>
        <w:tc>
          <w:tcPr>
            <w:tcW w:type="dxa" w:w="5556"/>
            <w:shd w:fill="FFFFFF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63640"/>
                <w:sz w:val="17"/>
              </w:rPr>
              <w:t>管理当前 Agent 及其状态</w:t>
            </w:r>
          </w:p>
        </w:tc>
      </w:tr>
      <w:tr>
        <w:tc>
          <w:tcPr>
            <w:tcW w:type="dxa" w:w="1928"/>
            <w:shd w:fill="EAF4FA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263640"/>
                <w:sz w:val="17"/>
              </w:rPr>
              <w:t>ctx.agentLoop</w:t>
            </w:r>
          </w:p>
        </w:tc>
        <w:tc>
          <w:tcPr>
            <w:tcW w:type="dxa" w:w="2268"/>
            <w:shd w:fill="EAF4FA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63640"/>
                <w:sz w:val="17"/>
              </w:rPr>
              <w:t>循环调度服务</w:t>
            </w:r>
          </w:p>
        </w:tc>
        <w:tc>
          <w:tcPr>
            <w:tcW w:type="dxa" w:w="5556"/>
            <w:shd w:fill="EAF4FA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263640"/>
                <w:sz w:val="17"/>
              </w:rPr>
              <w:t>驱动 Turn、Step 与工具调用循环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spacing w:after="0" w:line="560" w:lineRule="exact"/>
      </w:pPr>
      <w:r>
        <w:rPr>
          <w:rFonts w:ascii="Microsoft YaHei" w:hAnsi="Microsoft YaHei" w:eastAsia="Microsoft YaHei"/>
          <w:b w:val="0"/>
          <w:color w:val="FFFFFF"/>
          <w:sz w:val="16"/>
        </w:rPr>
        <w:t xml:space="preserve"> </w:t>
      </w:r>
    </w:p>
    <w:p>
      <w:pPr>
        <w:spacing w:after="20"/>
      </w:pPr>
      <w:r>
        <w:rPr>
          <w:rFonts w:ascii="Microsoft YaHei" w:hAnsi="Microsoft YaHei" w:eastAsia="Microsoft YaHei"/>
          <w:b/>
          <w:color w:val="1F6FA8"/>
          <w:sz w:val="17"/>
        </w:rPr>
        <w:t>第三部分 DeepSeek Harness</w:t>
      </w:r>
    </w:p>
    <w:p>
      <w:pPr>
        <w:pStyle w:val="Heading1"/>
        <w:keepNext/>
        <w:spacing w:after="140"/>
      </w:pPr>
      <w:r>
        <w:rPr>
          <w:rFonts w:ascii="Microsoft YaHei" w:hAnsi="Microsoft YaHei" w:eastAsia="Microsoft YaHei"/>
          <w:b/>
          <w:color w:val="000000"/>
          <w:sz w:val="38"/>
        </w:rPr>
        <w:t>Session Context Tool 与 Sandbox 的协作机制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6336000" cy="346368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4_session_context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336000" cy="34636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/>
        <w:jc w:val="center"/>
      </w:pPr>
      <w:r>
        <w:rPr>
          <w:rFonts w:ascii="Microsoft YaHei" w:hAnsi="Microsoft YaHei" w:eastAsia="Microsoft YaHei"/>
          <w:b w:val="0"/>
          <w:color w:val="606A73"/>
          <w:sz w:val="17"/>
        </w:rPr>
        <w:t>图 4 完整 Session 与当前 Context 的关系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45"/>
        <w:gridCol w:w="3345"/>
        <w:gridCol w:w="3345"/>
      </w:tblGrid>
      <w:tr>
        <w:trPr>
          <w:tblHeader w:val="true"/>
        </w:trPr>
        <w:tc>
          <w:tcPr>
            <w:tcW w:type="dxa" w:w="1587"/>
            <w:shd w:fill="183B56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概念</w:t>
            </w:r>
          </w:p>
        </w:tc>
        <w:tc>
          <w:tcPr>
            <w:tcW w:type="dxa" w:w="3402"/>
            <w:shd w:fill="183B56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定义</w:t>
            </w:r>
          </w:p>
        </w:tc>
        <w:tc>
          <w:tcPr>
            <w:tcW w:type="dxa" w:w="4762"/>
            <w:shd w:fill="183B56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业务示例</w:t>
            </w:r>
          </w:p>
        </w:tc>
      </w:tr>
      <w:tr>
        <w:tc>
          <w:tcPr>
            <w:tcW w:type="dxa" w:w="1587"/>
            <w:shd w:fill="FFFFFF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263640"/>
                <w:sz w:val="17"/>
              </w:rPr>
              <w:t>Session</w:t>
            </w:r>
          </w:p>
        </w:tc>
        <w:tc>
          <w:tcPr>
            <w:tcW w:type="dxa" w:w="3402"/>
            <w:shd w:fill="FFFFFF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63640"/>
                <w:sz w:val="17"/>
              </w:rPr>
              <w:t>保存整个任务的事实与事件记录</w:t>
            </w:r>
          </w:p>
        </w:tc>
        <w:tc>
          <w:tcPr>
            <w:tcW w:type="dxa" w:w="4762"/>
            <w:shd w:fill="FFFFFF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263640"/>
                <w:sz w:val="17"/>
              </w:rPr>
              <w:t>记录用户要求、模型输出、工具调用及执行结果</w:t>
            </w:r>
          </w:p>
        </w:tc>
      </w:tr>
      <w:tr>
        <w:tc>
          <w:tcPr>
            <w:tcW w:type="dxa" w:w="1587"/>
            <w:shd w:fill="EAF4FA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263640"/>
                <w:sz w:val="17"/>
              </w:rPr>
              <w:t>Context</w:t>
            </w:r>
          </w:p>
        </w:tc>
        <w:tc>
          <w:tcPr>
            <w:tcW w:type="dxa" w:w="3402"/>
            <w:shd w:fill="EAF4FA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63640"/>
                <w:sz w:val="17"/>
              </w:rPr>
              <w:t>提供当前模型调用所需的精选信息</w:t>
            </w:r>
          </w:p>
        </w:tc>
        <w:tc>
          <w:tcPr>
            <w:tcW w:type="dxa" w:w="4762"/>
            <w:shd w:fill="EAF4FA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263640"/>
                <w:sz w:val="17"/>
              </w:rPr>
              <w:t>包含近期对话、摘要、相关文件与工具说明</w:t>
            </w:r>
          </w:p>
        </w:tc>
      </w:tr>
      <w:tr>
        <w:tc>
          <w:tcPr>
            <w:tcW w:type="dxa" w:w="1587"/>
            <w:shd w:fill="FFFFFF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263640"/>
                <w:sz w:val="17"/>
              </w:rPr>
              <w:t>Tool</w:t>
            </w:r>
          </w:p>
        </w:tc>
        <w:tc>
          <w:tcPr>
            <w:tcW w:type="dxa" w:w="3402"/>
            <w:shd w:fill="FFFFFF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63640"/>
                <w:sz w:val="17"/>
              </w:rPr>
              <w:t>将模型意图转换为外部操作</w:t>
            </w:r>
          </w:p>
        </w:tc>
        <w:tc>
          <w:tcPr>
            <w:tcW w:type="dxa" w:w="4762"/>
            <w:shd w:fill="FFFFFF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263640"/>
                <w:sz w:val="17"/>
              </w:rPr>
              <w:t>读取文件、访问 API 或执行命令</w:t>
            </w:r>
          </w:p>
        </w:tc>
      </w:tr>
      <w:tr>
        <w:tc>
          <w:tcPr>
            <w:tcW w:type="dxa" w:w="1587"/>
            <w:shd w:fill="EAF4FA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263640"/>
                <w:sz w:val="17"/>
              </w:rPr>
              <w:t>Sandbox</w:t>
            </w:r>
          </w:p>
        </w:tc>
        <w:tc>
          <w:tcPr>
            <w:tcW w:type="dxa" w:w="3402"/>
            <w:shd w:fill="EAF4FA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63640"/>
                <w:sz w:val="17"/>
              </w:rPr>
              <w:t>限制工具的执行环境与影响范围</w:t>
            </w:r>
          </w:p>
        </w:tc>
        <w:tc>
          <w:tcPr>
            <w:tcW w:type="dxa" w:w="4762"/>
            <w:shd w:fill="EAF4FA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63640"/>
                <w:sz w:val="17"/>
              </w:rPr>
              <w:t>仅允许在指定工作区内操作</w:t>
            </w:r>
          </w:p>
        </w:tc>
      </w:tr>
      <w:tr>
        <w:tc>
          <w:tcPr>
            <w:tcW w:type="dxa" w:w="1587"/>
            <w:shd w:fill="FFFFFF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263640"/>
                <w:sz w:val="17"/>
              </w:rPr>
              <w:t>Permission</w:t>
            </w:r>
          </w:p>
        </w:tc>
        <w:tc>
          <w:tcPr>
            <w:tcW w:type="dxa" w:w="3402"/>
            <w:shd w:fill="FFFFFF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63640"/>
                <w:sz w:val="17"/>
              </w:rPr>
              <w:t>判断操作是否允许或需要审批</w:t>
            </w:r>
          </w:p>
        </w:tc>
        <w:tc>
          <w:tcPr>
            <w:tcW w:type="dxa" w:w="4762"/>
            <w:shd w:fill="FFFFFF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263640"/>
                <w:sz w:val="17"/>
              </w:rPr>
              <w:t>重启服务前要求确认，禁止未授权删除</w:t>
            </w:r>
          </w:p>
        </w:tc>
      </w:tr>
    </w:tbl>
    <w:p>
      <w:pPr>
        <w:spacing w:after="0"/>
      </w:pPr>
    </w:p>
    <w:p>
      <w:pPr>
        <w:spacing w:after="100" w:line="283" w:lineRule="auto"/>
      </w:pPr>
      <w:r>
        <w:rPr>
          <w:rFonts w:ascii="Microsoft YaHei" w:hAnsi="Microsoft YaHei" w:eastAsia="Microsoft YaHei"/>
          <w:b w:val="0"/>
          <w:color w:val="263640"/>
          <w:sz w:val="19"/>
        </w:rPr>
        <w:t>Session 采用追加式事件日志，可以保留完整执行顺序，并支持中断恢复、过程审计、事件重放以及模型可见消息的重新构建。</w:t>
      </w:r>
    </w:p>
    <w:p>
      <w:r>
        <w:br w:type="page"/>
      </w:r>
    </w:p>
    <w:p>
      <w:pPr>
        <w:spacing w:after="0" w:line="560" w:lineRule="exact"/>
      </w:pPr>
      <w:r>
        <w:rPr>
          <w:rFonts w:ascii="Microsoft YaHei" w:hAnsi="Microsoft YaHei" w:eastAsia="Microsoft YaHei"/>
          <w:b w:val="0"/>
          <w:color w:val="FFFFFF"/>
          <w:sz w:val="16"/>
        </w:rPr>
        <w:t xml:space="preserve"> </w:t>
      </w:r>
    </w:p>
    <w:p>
      <w:pPr>
        <w:spacing w:after="20"/>
      </w:pPr>
      <w:r>
        <w:rPr>
          <w:rFonts w:ascii="Microsoft YaHei" w:hAnsi="Microsoft YaHei" w:eastAsia="Microsoft YaHei"/>
          <w:b/>
          <w:color w:val="1F6FA8"/>
          <w:sz w:val="17"/>
        </w:rPr>
        <w:t>第三部分 DeepSeek Harness</w:t>
      </w:r>
    </w:p>
    <w:p>
      <w:pPr>
        <w:pStyle w:val="Heading1"/>
        <w:keepNext/>
        <w:spacing w:after="140"/>
      </w:pPr>
      <w:r>
        <w:rPr>
          <w:rFonts w:ascii="Microsoft YaHei" w:hAnsi="Microsoft YaHei" w:eastAsia="Microsoft YaHei"/>
          <w:b/>
          <w:color w:val="000000"/>
          <w:sz w:val="38"/>
        </w:rPr>
        <w:t>Profile Bundle 与 Patch 的配置机制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6336000" cy="346368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5_profil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336000" cy="34636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/>
        <w:jc w:val="center"/>
      </w:pPr>
      <w:r>
        <w:rPr>
          <w:rFonts w:ascii="Microsoft YaHei" w:hAnsi="Microsoft YaHei" w:eastAsia="Microsoft YaHei"/>
          <w:b w:val="0"/>
          <w:color w:val="606A73"/>
          <w:sz w:val="17"/>
        </w:rPr>
        <w:t>图 5 DSH 的配置组合方式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45"/>
        <w:gridCol w:w="3345"/>
        <w:gridCol w:w="3345"/>
      </w:tblGrid>
      <w:tr>
        <w:trPr>
          <w:tblHeader w:val="true"/>
        </w:trPr>
        <w:tc>
          <w:tcPr>
            <w:tcW w:type="dxa" w:w="1587"/>
            <w:shd w:fill="183B56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概念</w:t>
            </w:r>
          </w:p>
        </w:tc>
        <w:tc>
          <w:tcPr>
            <w:tcW w:type="dxa" w:w="2041"/>
            <w:shd w:fill="183B56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功能定位</w:t>
            </w:r>
          </w:p>
        </w:tc>
        <w:tc>
          <w:tcPr>
            <w:tcW w:type="dxa" w:w="6123"/>
            <w:shd w:fill="183B56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作用</w:t>
            </w:r>
          </w:p>
        </w:tc>
      </w:tr>
      <w:tr>
        <w:tc>
          <w:tcPr>
            <w:tcW w:type="dxa" w:w="1587"/>
            <w:shd w:fill="FFFFFF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263640"/>
                <w:sz w:val="18"/>
              </w:rPr>
              <w:t>Plugin</w:t>
            </w:r>
          </w:p>
        </w:tc>
        <w:tc>
          <w:tcPr>
            <w:tcW w:type="dxa" w:w="2041"/>
            <w:shd w:fill="FFFFFF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63640"/>
                <w:sz w:val="18"/>
              </w:rPr>
              <w:t>基础扩展单元</w:t>
            </w:r>
          </w:p>
        </w:tc>
        <w:tc>
          <w:tcPr>
            <w:tcW w:type="dxa" w:w="6123"/>
            <w:shd w:fill="FFFFFF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63640"/>
                <w:sz w:val="18"/>
              </w:rPr>
              <w:t>提供一项服务或能力</w:t>
            </w:r>
          </w:p>
        </w:tc>
      </w:tr>
      <w:tr>
        <w:tc>
          <w:tcPr>
            <w:tcW w:type="dxa" w:w="1587"/>
            <w:shd w:fill="EAF4FA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263640"/>
                <w:sz w:val="18"/>
              </w:rPr>
              <w:t>Bundle</w:t>
            </w:r>
          </w:p>
        </w:tc>
        <w:tc>
          <w:tcPr>
            <w:tcW w:type="dxa" w:w="2041"/>
            <w:shd w:fill="EAF4FA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63640"/>
                <w:sz w:val="18"/>
              </w:rPr>
              <w:t>可复用插件集合</w:t>
            </w:r>
          </w:p>
        </w:tc>
        <w:tc>
          <w:tcPr>
            <w:tcW w:type="dxa" w:w="6123"/>
            <w:shd w:fill="EAF4FA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63640"/>
                <w:sz w:val="18"/>
              </w:rPr>
              <w:t>批量装入一组相关配置与能力</w:t>
            </w:r>
          </w:p>
        </w:tc>
      </w:tr>
      <w:tr>
        <w:tc>
          <w:tcPr>
            <w:tcW w:type="dxa" w:w="1587"/>
            <w:shd w:fill="FFFFFF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263640"/>
                <w:sz w:val="18"/>
              </w:rPr>
              <w:t>Profile</w:t>
            </w:r>
          </w:p>
        </w:tc>
        <w:tc>
          <w:tcPr>
            <w:tcW w:type="dxa" w:w="2041"/>
            <w:shd w:fill="FFFFFF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63640"/>
                <w:sz w:val="18"/>
              </w:rPr>
              <w:t>命名运行配置</w:t>
            </w:r>
          </w:p>
        </w:tc>
        <w:tc>
          <w:tcPr>
            <w:tcW w:type="dxa" w:w="6123"/>
            <w:shd w:fill="FFFFFF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263640"/>
                <w:sz w:val="18"/>
              </w:rPr>
              <w:t>选择 web、headless、sdk 或 acp 等运行方式</w:t>
            </w:r>
          </w:p>
        </w:tc>
      </w:tr>
      <w:tr>
        <w:tc>
          <w:tcPr>
            <w:tcW w:type="dxa" w:w="1587"/>
            <w:shd w:fill="EAF4FA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263640"/>
                <w:sz w:val="18"/>
              </w:rPr>
              <w:t>Patch</w:t>
            </w:r>
          </w:p>
        </w:tc>
        <w:tc>
          <w:tcPr>
            <w:tcW w:type="dxa" w:w="2041"/>
            <w:shd w:fill="EAF4FA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63640"/>
                <w:sz w:val="18"/>
              </w:rPr>
              <w:t>配置覆盖层</w:t>
            </w:r>
          </w:p>
        </w:tc>
        <w:tc>
          <w:tcPr>
            <w:tcW w:type="dxa" w:w="6123"/>
            <w:shd w:fill="EAF4FA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63640"/>
                <w:sz w:val="18"/>
              </w:rPr>
              <w:t>覆盖配置、替换模块或插入插件</w:t>
            </w:r>
          </w:p>
        </w:tc>
      </w:tr>
    </w:tbl>
    <w:p>
      <w:pPr>
        <w:spacing w:after="0"/>
      </w:pPr>
    </w:p>
    <w:p>
      <w:pPr>
        <w:spacing w:after="100" w:line="283" w:lineRule="auto"/>
      </w:pPr>
      <w:r>
        <w:rPr>
          <w:rFonts w:ascii="Microsoft YaHei" w:hAnsi="Microsoft YaHei" w:eastAsia="Microsoft YaHei"/>
          <w:b w:val="0"/>
          <w:color w:val="263640"/>
          <w:sz w:val="20"/>
        </w:rPr>
        <w:t>业务用户通常使用 web Profile。无界面任务、SDK 接入或自动化服务等场景，可能需要选择其他 Profile 或编写 Patch。</w:t>
      </w:r>
    </w:p>
    <w:p>
      <w:pPr>
        <w:spacing w:after="100" w:line="283" w:lineRule="auto"/>
      </w:pPr>
      <w:r>
        <w:rPr>
          <w:rFonts w:ascii="Microsoft YaHei" w:hAnsi="Microsoft YaHei" w:eastAsia="Microsoft YaHei"/>
          <w:b w:val="0"/>
          <w:color w:val="263640"/>
          <w:sz w:val="19"/>
        </w:rPr>
        <w:t>DSH 的主要架构特征是将 Harness Core 的关键能力设计为可组合模块，而不仅是提供附加插件。这也是 DSH 与成品 Coding Agent 的主要差异。</w:t>
      </w:r>
    </w:p>
    <w:p>
      <w:r>
        <w:br w:type="page"/>
      </w:r>
    </w:p>
    <w:p>
      <w:pPr>
        <w:spacing w:after="0" w:line="560" w:lineRule="exact"/>
      </w:pPr>
      <w:r>
        <w:rPr>
          <w:rFonts w:ascii="Microsoft YaHei" w:hAnsi="Microsoft YaHei" w:eastAsia="Microsoft YaHei"/>
          <w:b w:val="0"/>
          <w:color w:val="FFFFFF"/>
          <w:sz w:val="16"/>
        </w:rPr>
        <w:t xml:space="preserve"> </w:t>
      </w:r>
    </w:p>
    <w:p>
      <w:pPr>
        <w:spacing w:after="20"/>
      </w:pPr>
      <w:r>
        <w:rPr>
          <w:rFonts w:ascii="Microsoft YaHei" w:hAnsi="Microsoft YaHei" w:eastAsia="Microsoft YaHei"/>
          <w:b/>
          <w:color w:val="1F6FA8"/>
          <w:sz w:val="17"/>
        </w:rPr>
        <w:t>第四部分 Harness Desktop</w:t>
      </w:r>
    </w:p>
    <w:p>
      <w:pPr>
        <w:pStyle w:val="Heading1"/>
        <w:keepNext/>
        <w:spacing w:after="140"/>
      </w:pPr>
      <w:r>
        <w:rPr>
          <w:rFonts w:ascii="Microsoft YaHei" w:hAnsi="Microsoft YaHei" w:eastAsia="Microsoft YaHei"/>
          <w:b/>
          <w:color w:val="000000"/>
          <w:sz w:val="38"/>
        </w:rPr>
        <w:t>Harness Desktop 的产品定位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6336000" cy="346368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6_desktop_layers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336000" cy="34636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/>
        <w:jc w:val="center"/>
      </w:pPr>
      <w:r>
        <w:rPr>
          <w:rFonts w:ascii="Microsoft YaHei" w:hAnsi="Microsoft YaHei" w:eastAsia="Microsoft YaHei"/>
          <w:b w:val="0"/>
          <w:color w:val="606A73"/>
          <w:sz w:val="17"/>
        </w:rPr>
        <w:t>图 6 Harness Desktop 与 DSH Runtime 的分层</w:t>
      </w:r>
    </w:p>
    <w:p>
      <w:pPr>
        <w:spacing w:after="100" w:line="283" w:lineRule="auto"/>
      </w:pPr>
      <w:r>
        <w:rPr>
          <w:rFonts w:ascii="Microsoft YaHei" w:hAnsi="Microsoft YaHei" w:eastAsia="Microsoft YaHei"/>
          <w:b w:val="0"/>
          <w:color w:val="263640"/>
          <w:sz w:val="20"/>
        </w:rPr>
        <w:t>根据项目源码，Harness Desktop v1.1.0 是基于 Electron 的桌面应用，用于集中管理 DSH 的安装、启动、Web UI、插件、日志、版本及后台运行。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18"/>
        <w:gridCol w:w="5018"/>
      </w:tblGrid>
      <w:tr>
        <w:trPr>
          <w:tblHeader w:val="true"/>
        </w:trPr>
        <w:tc>
          <w:tcPr>
            <w:tcW w:type="dxa" w:w="1984"/>
            <w:shd w:fill="183B56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功能模块</w:t>
            </w:r>
          </w:p>
        </w:tc>
        <w:tc>
          <w:tcPr>
            <w:tcW w:type="dxa" w:w="7767"/>
            <w:shd w:fill="183B56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具体功能</w:t>
            </w:r>
          </w:p>
        </w:tc>
      </w:tr>
      <w:tr>
        <w:tc>
          <w:tcPr>
            <w:tcW w:type="dxa" w:w="1984"/>
            <w:shd w:fill="FFFFFF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263640"/>
                <w:sz w:val="17"/>
              </w:rPr>
              <w:t>安装器</w:t>
            </w:r>
          </w:p>
        </w:tc>
        <w:tc>
          <w:tcPr>
            <w:tcW w:type="dxa" w:w="7767"/>
            <w:shd w:fill="FFFFFF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263640"/>
                <w:sz w:val="17"/>
              </w:rPr>
              <w:t>检测系统与网络；需要时下载便携 Node.js；安装 dsh 与 pnpm；验证版本</w:t>
            </w:r>
          </w:p>
        </w:tc>
      </w:tr>
      <w:tr>
        <w:tc>
          <w:tcPr>
            <w:tcW w:type="dxa" w:w="1984"/>
            <w:shd w:fill="EAF4FA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263640"/>
                <w:sz w:val="17"/>
              </w:rPr>
              <w:t>启动器</w:t>
            </w:r>
          </w:p>
        </w:tc>
        <w:tc>
          <w:tcPr>
            <w:tcW w:type="dxa" w:w="7767"/>
            <w:shd w:fill="EAF4FA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263640"/>
                <w:sz w:val="17"/>
              </w:rPr>
              <w:t>自动定位 dsh，按 Profile、端口、工作目录和额外参数启动</w:t>
            </w:r>
          </w:p>
        </w:tc>
      </w:tr>
      <w:tr>
        <w:tc>
          <w:tcPr>
            <w:tcW w:type="dxa" w:w="1984"/>
            <w:shd w:fill="FFFFFF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263640"/>
                <w:sz w:val="17"/>
              </w:rPr>
              <w:t>服务管理</w:t>
            </w:r>
          </w:p>
        </w:tc>
        <w:tc>
          <w:tcPr>
            <w:tcW w:type="dxa" w:w="7767"/>
            <w:shd w:fill="FFFFFF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263640"/>
                <w:sz w:val="17"/>
              </w:rPr>
              <w:t>启动、停止、重启、端口冲突回退、异常退出识别与残留进程清理</w:t>
            </w:r>
          </w:p>
        </w:tc>
      </w:tr>
      <w:tr>
        <w:tc>
          <w:tcPr>
            <w:tcW w:type="dxa" w:w="1984"/>
            <w:shd w:fill="EAF4FA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263640"/>
                <w:sz w:val="17"/>
              </w:rPr>
              <w:t>桌面外壳</w:t>
            </w:r>
          </w:p>
        </w:tc>
        <w:tc>
          <w:tcPr>
            <w:tcW w:type="dxa" w:w="7767"/>
            <w:shd w:fill="EAF4FA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263640"/>
                <w:sz w:val="17"/>
              </w:rPr>
              <w:t>内嵌 DSH Web UI，可另在系统浏览器中打开，支持托盘常驻</w:t>
            </w:r>
          </w:p>
        </w:tc>
      </w:tr>
      <w:tr>
        <w:tc>
          <w:tcPr>
            <w:tcW w:type="dxa" w:w="1984"/>
            <w:shd w:fill="FFFFFF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263640"/>
                <w:sz w:val="17"/>
              </w:rPr>
              <w:t>运行监控</w:t>
            </w:r>
          </w:p>
        </w:tc>
        <w:tc>
          <w:tcPr>
            <w:tcW w:type="dxa" w:w="7767"/>
            <w:shd w:fill="FFFFFF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263640"/>
                <w:sz w:val="17"/>
              </w:rPr>
              <w:t>显示状态、PID、地址、版本、DSH_HOME、日志与命令输出</w:t>
            </w:r>
          </w:p>
        </w:tc>
      </w:tr>
      <w:tr>
        <w:tc>
          <w:tcPr>
            <w:tcW w:type="dxa" w:w="1984"/>
            <w:shd w:fill="EAF4FA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263640"/>
                <w:sz w:val="17"/>
              </w:rPr>
              <w:t>版本管理器</w:t>
            </w:r>
          </w:p>
        </w:tc>
        <w:tc>
          <w:tcPr>
            <w:tcW w:type="dxa" w:w="7767"/>
            <w:shd w:fill="EAF4FA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263640"/>
                <w:sz w:val="17"/>
              </w:rPr>
              <w:t>读取远程版本列表，支持升级和回退，并在结束后重启服务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spacing w:after="0" w:line="560" w:lineRule="exact"/>
      </w:pPr>
      <w:r>
        <w:rPr>
          <w:rFonts w:ascii="Microsoft YaHei" w:hAnsi="Microsoft YaHei" w:eastAsia="Microsoft YaHei"/>
          <w:b w:val="0"/>
          <w:color w:val="FFFFFF"/>
          <w:sz w:val="16"/>
        </w:rPr>
        <w:t xml:space="preserve"> </w:t>
      </w:r>
    </w:p>
    <w:p>
      <w:pPr>
        <w:spacing w:after="20"/>
      </w:pPr>
      <w:r>
        <w:rPr>
          <w:rFonts w:ascii="Microsoft YaHei" w:hAnsi="Microsoft YaHei" w:eastAsia="Microsoft YaHei"/>
          <w:b/>
          <w:color w:val="1F6FA8"/>
          <w:sz w:val="17"/>
        </w:rPr>
        <w:t>第四部分 Harness Desktop</w:t>
      </w:r>
    </w:p>
    <w:p>
      <w:pPr>
        <w:pStyle w:val="Heading1"/>
        <w:keepNext/>
        <w:spacing w:after="140"/>
      </w:pPr>
      <w:r>
        <w:rPr>
          <w:rFonts w:ascii="Microsoft YaHei" w:hAnsi="Microsoft YaHei" w:eastAsia="Microsoft YaHei"/>
          <w:b/>
          <w:color w:val="000000"/>
          <w:sz w:val="38"/>
        </w:rPr>
        <w:t>首次安装与启动流程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6336000" cy="346368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7_first_run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336000" cy="34636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/>
        <w:jc w:val="center"/>
      </w:pPr>
      <w:r>
        <w:rPr>
          <w:rFonts w:ascii="Microsoft YaHei" w:hAnsi="Microsoft YaHei" w:eastAsia="Microsoft YaHei"/>
          <w:b w:val="0"/>
          <w:color w:val="606A73"/>
          <w:sz w:val="17"/>
        </w:rPr>
        <w:t>图 7 Harness Desktop 首次运行流程</w:t>
      </w:r>
    </w:p>
    <w:p>
      <w:pPr>
        <w:pStyle w:val="Heading2"/>
        <w:keepNext/>
        <w:spacing w:before="140" w:after="80"/>
      </w:pPr>
      <w:r>
        <w:rPr>
          <w:rFonts w:ascii="Microsoft YaHei" w:hAnsi="Microsoft YaHei" w:eastAsia="Microsoft YaHei"/>
          <w:b/>
          <w:color w:val="000000"/>
          <w:sz w:val="25"/>
        </w:rPr>
        <w:t>用户操作步骤</w:t>
      </w:r>
    </w:p>
    <w:p>
      <w:pPr>
        <w:spacing w:after="80" w:line="264" w:lineRule="auto"/>
        <w:ind w:left="351" w:hanging="351"/>
      </w:pPr>
      <w:r>
        <w:rPr>
          <w:rFonts w:ascii="Microsoft YaHei" w:hAnsi="Microsoft YaHei" w:eastAsia="Microsoft YaHei"/>
          <w:b w:val="0"/>
          <w:color w:val="263640"/>
          <w:sz w:val="19"/>
        </w:rPr>
        <w:t xml:space="preserve">1.  </w:t>
      </w:r>
      <w:r>
        <w:rPr>
          <w:rFonts w:ascii="Microsoft YaHei" w:hAnsi="Microsoft YaHei" w:eastAsia="Microsoft YaHei"/>
          <w:b w:val="0"/>
          <w:color w:val="263640"/>
          <w:sz w:val="19"/>
        </w:rPr>
        <w:t>启动程序，并等待系统检测本机是否存在可用的 dsh。</w:t>
      </w:r>
    </w:p>
    <w:p>
      <w:pPr>
        <w:spacing w:after="80" w:line="264" w:lineRule="auto"/>
        <w:ind w:left="351" w:hanging="351"/>
      </w:pPr>
      <w:r>
        <w:rPr>
          <w:rFonts w:ascii="Microsoft YaHei" w:hAnsi="Microsoft YaHei" w:eastAsia="Microsoft YaHei"/>
          <w:b w:val="0"/>
          <w:color w:val="263640"/>
          <w:sz w:val="19"/>
        </w:rPr>
        <w:t xml:space="preserve">2.  </w:t>
      </w:r>
      <w:r>
        <w:rPr>
          <w:rFonts w:ascii="Microsoft YaHei" w:hAnsi="Microsoft YaHei" w:eastAsia="Microsoft YaHei"/>
          <w:b w:val="0"/>
          <w:color w:val="263640"/>
          <w:sz w:val="19"/>
        </w:rPr>
        <w:t>如未检测到 dsh，选择安装与缓存目录，并指定默认工作空间目录。</w:t>
      </w:r>
    </w:p>
    <w:p>
      <w:pPr>
        <w:spacing w:after="80" w:line="264" w:lineRule="auto"/>
        <w:ind w:left="351" w:hanging="351"/>
      </w:pPr>
      <w:r>
        <w:rPr>
          <w:rFonts w:ascii="Microsoft YaHei" w:hAnsi="Microsoft YaHei" w:eastAsia="Microsoft YaHei"/>
          <w:b w:val="0"/>
          <w:color w:val="263640"/>
          <w:sz w:val="19"/>
        </w:rPr>
        <w:t xml:space="preserve">3.  </w:t>
      </w:r>
      <w:r>
        <w:rPr>
          <w:rFonts w:ascii="Microsoft YaHei" w:hAnsi="Microsoft YaHei" w:eastAsia="Microsoft YaHei"/>
          <w:b w:val="0"/>
          <w:color w:val="263640"/>
          <w:sz w:val="19"/>
        </w:rPr>
        <w:t>开始安装。程序将检测操作系统、架构、Node.js、Git、网络及磁盘空间。</w:t>
      </w:r>
    </w:p>
    <w:p>
      <w:pPr>
        <w:spacing w:after="80" w:line="264" w:lineRule="auto"/>
        <w:ind w:left="351" w:hanging="351"/>
      </w:pPr>
      <w:r>
        <w:rPr>
          <w:rFonts w:ascii="Microsoft YaHei" w:hAnsi="Microsoft YaHei" w:eastAsia="Microsoft YaHei"/>
          <w:b w:val="0"/>
          <w:color w:val="263640"/>
          <w:sz w:val="19"/>
        </w:rPr>
        <w:t xml:space="preserve">4.  </w:t>
      </w:r>
      <w:r>
        <w:rPr>
          <w:rFonts w:ascii="Microsoft YaHei" w:hAnsi="Microsoft YaHei" w:eastAsia="Microsoft YaHei"/>
          <w:b w:val="0"/>
          <w:color w:val="263640"/>
          <w:sz w:val="19"/>
        </w:rPr>
        <w:t>安装完成后，程序自动检查 Plugin Hub、启动 DSH Web 服务并加载界面。</w:t>
      </w:r>
    </w:p>
    <w:p>
      <w:pPr>
        <w:spacing w:after="80" w:line="264" w:lineRule="auto"/>
        <w:ind w:left="351" w:hanging="351"/>
      </w:pPr>
      <w:r>
        <w:rPr>
          <w:rFonts w:ascii="Microsoft YaHei" w:hAnsi="Microsoft YaHei" w:eastAsia="Microsoft YaHei"/>
          <w:b w:val="0"/>
          <w:color w:val="263640"/>
          <w:sz w:val="19"/>
        </w:rPr>
        <w:t xml:space="preserve">5.  </w:t>
      </w:r>
      <w:r>
        <w:rPr>
          <w:rFonts w:ascii="Microsoft YaHei" w:hAnsi="Microsoft YaHei" w:eastAsia="Microsoft YaHei"/>
          <w:b w:val="0"/>
          <w:color w:val="263640"/>
          <w:sz w:val="19"/>
        </w:rPr>
        <w:t>后续启动时，桌面端将自动定位并启动服务，也可根据设置驻留系统托盘。</w:t>
      </w:r>
    </w:p>
    <w:p>
      <w:pPr>
        <w:pStyle w:val="Heading2"/>
        <w:keepNext/>
        <w:spacing w:before="140" w:after="80"/>
      </w:pPr>
      <w:r>
        <w:rPr>
          <w:rFonts w:ascii="Microsoft YaHei" w:hAnsi="Microsoft YaHei" w:eastAsia="Microsoft YaHei"/>
          <w:b/>
          <w:color w:val="000000"/>
          <w:sz w:val="25"/>
        </w:rPr>
        <w:t>安装前置条件</w:t>
      </w:r>
    </w:p>
    <w:p>
      <w:pPr>
        <w:pStyle w:val="ListBullet"/>
        <w:spacing w:after="60" w:line="264" w:lineRule="auto"/>
      </w:pPr>
      <w:r>
        <w:rPr>
          <w:rFonts w:ascii="Microsoft YaHei" w:hAnsi="Microsoft YaHei" w:eastAsia="Microsoft YaHei"/>
          <w:b w:val="0"/>
          <w:color w:val="263640"/>
          <w:sz w:val="19"/>
        </w:rPr>
        <w:t>安装目录和工作空间必须使用绝对路径。当前版本不接受包含中文、其他非英文字符或部分 Shell 特殊字符的路径，建议使用 D:\dsh 与 D:\dsh-work 等路径。</w:t>
      </w:r>
    </w:p>
    <w:p>
      <w:pPr>
        <w:pStyle w:val="ListBullet"/>
        <w:spacing w:after="60" w:line="264" w:lineRule="auto"/>
      </w:pPr>
      <w:r>
        <w:rPr>
          <w:rFonts w:ascii="Microsoft YaHei" w:hAnsi="Microsoft YaHei" w:eastAsia="Microsoft YaHei"/>
          <w:b w:val="0"/>
          <w:color w:val="263640"/>
          <w:sz w:val="19"/>
        </w:rPr>
        <w:t>Node.js 需满足 DSH 运行要求；不满足时桌面端会下载便携版本，不覆盖系统现有 Node.js。</w:t>
      </w:r>
    </w:p>
    <w:p>
      <w:pPr>
        <w:pStyle w:val="ListBullet"/>
        <w:spacing w:after="60" w:line="264" w:lineRule="auto"/>
      </w:pPr>
      <w:r>
        <w:rPr>
          <w:rFonts w:ascii="Microsoft YaHei" w:hAnsi="Microsoft YaHei" w:eastAsia="Microsoft YaHei"/>
          <w:b w:val="0"/>
          <w:color w:val="263640"/>
          <w:sz w:val="19"/>
        </w:rPr>
        <w:t>安装目录所在磁盘低于 1 GB 可用空间时会给出警告；Git 缺失时，来自 GitHub 的部分插件可能无法安装。</w:t>
      </w:r>
    </w:p>
    <w:p>
      <w:r>
        <w:br w:type="page"/>
      </w:r>
    </w:p>
    <w:p>
      <w:pPr>
        <w:spacing w:after="0" w:line="560" w:lineRule="exact"/>
      </w:pPr>
      <w:r>
        <w:rPr>
          <w:rFonts w:ascii="Microsoft YaHei" w:hAnsi="Microsoft YaHei" w:eastAsia="Microsoft YaHei"/>
          <w:b w:val="0"/>
          <w:color w:val="FFFFFF"/>
          <w:sz w:val="16"/>
        </w:rPr>
        <w:t xml:space="preserve"> </w:t>
      </w:r>
    </w:p>
    <w:p>
      <w:pPr>
        <w:spacing w:after="20"/>
      </w:pPr>
      <w:r>
        <w:rPr>
          <w:rFonts w:ascii="Microsoft YaHei" w:hAnsi="Microsoft YaHei" w:eastAsia="Microsoft YaHei"/>
          <w:b/>
          <w:color w:val="1F6FA8"/>
          <w:sz w:val="17"/>
        </w:rPr>
        <w:t>第四部分 Harness Desktop</w:t>
      </w:r>
    </w:p>
    <w:p>
      <w:pPr>
        <w:pStyle w:val="Heading1"/>
        <w:keepNext/>
        <w:spacing w:after="140"/>
      </w:pPr>
      <w:r>
        <w:rPr>
          <w:rFonts w:ascii="Microsoft YaHei" w:hAnsi="Microsoft YaHei" w:eastAsia="Microsoft YaHei"/>
          <w:b/>
          <w:color w:val="000000"/>
          <w:sz w:val="38"/>
        </w:rPr>
        <w:t>主界面与控制台操作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45"/>
        <w:gridCol w:w="3345"/>
        <w:gridCol w:w="3345"/>
      </w:tblGrid>
      <w:tr>
        <w:trPr>
          <w:tblHeader w:val="true"/>
        </w:trPr>
        <w:tc>
          <w:tcPr>
            <w:tcW w:type="dxa" w:w="1701"/>
            <w:shd w:fill="183B56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区域</w:t>
            </w:r>
          </w:p>
        </w:tc>
        <w:tc>
          <w:tcPr>
            <w:tcW w:type="dxa" w:w="3458"/>
            <w:shd w:fill="183B56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显示内容</w:t>
            </w:r>
          </w:p>
        </w:tc>
        <w:tc>
          <w:tcPr>
            <w:tcW w:type="dxa" w:w="4592"/>
            <w:shd w:fill="183B56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适用情况</w:t>
            </w:r>
          </w:p>
        </w:tc>
      </w:tr>
      <w:tr>
        <w:tc>
          <w:tcPr>
            <w:tcW w:type="dxa" w:w="1701"/>
            <w:shd w:fill="FFFFFF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263640"/>
                <w:sz w:val="17"/>
              </w:rPr>
              <w:t>界面</w:t>
            </w:r>
          </w:p>
        </w:tc>
        <w:tc>
          <w:tcPr>
            <w:tcW w:type="dxa" w:w="3458"/>
            <w:shd w:fill="FFFFFF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63640"/>
                <w:sz w:val="17"/>
              </w:rPr>
              <w:t>内嵌 DSH Web UI</w:t>
            </w:r>
          </w:p>
        </w:tc>
        <w:tc>
          <w:tcPr>
            <w:tcW w:type="dxa" w:w="4592"/>
            <w:shd w:fill="FFFFFF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263640"/>
                <w:sz w:val="17"/>
              </w:rPr>
              <w:t>与 Agent 对话、使用 DSH 自身功能</w:t>
            </w:r>
          </w:p>
        </w:tc>
      </w:tr>
      <w:tr>
        <w:tc>
          <w:tcPr>
            <w:tcW w:type="dxa" w:w="1701"/>
            <w:shd w:fill="EAF4FA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263640"/>
                <w:sz w:val="17"/>
              </w:rPr>
              <w:t>顶部状态</w:t>
            </w:r>
          </w:p>
        </w:tc>
        <w:tc>
          <w:tcPr>
            <w:tcW w:type="dxa" w:w="3458"/>
            <w:shd w:fill="EAF4FA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263640"/>
                <w:sz w:val="17"/>
              </w:rPr>
              <w:t>检测中、安装中、运行中、异常退出和端口</w:t>
            </w:r>
          </w:p>
        </w:tc>
        <w:tc>
          <w:tcPr>
            <w:tcW w:type="dxa" w:w="4592"/>
            <w:shd w:fill="EAF4FA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63640"/>
                <w:sz w:val="17"/>
              </w:rPr>
              <w:t>确认服务是否可用</w:t>
            </w:r>
          </w:p>
        </w:tc>
      </w:tr>
      <w:tr>
        <w:tc>
          <w:tcPr>
            <w:tcW w:type="dxa" w:w="1701"/>
            <w:shd w:fill="FFFFFF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263640"/>
                <w:sz w:val="17"/>
              </w:rPr>
              <w:t>重新启动</w:t>
            </w:r>
          </w:p>
        </w:tc>
        <w:tc>
          <w:tcPr>
            <w:tcW w:type="dxa" w:w="3458"/>
            <w:shd w:fill="FFFFFF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63640"/>
                <w:sz w:val="17"/>
              </w:rPr>
              <w:t>停止后再启动 DSH</w:t>
            </w:r>
          </w:p>
        </w:tc>
        <w:tc>
          <w:tcPr>
            <w:tcW w:type="dxa" w:w="4592"/>
            <w:shd w:fill="FFFFFF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63640"/>
                <w:sz w:val="17"/>
              </w:rPr>
              <w:t>设置改变或插件安装后</w:t>
            </w:r>
          </w:p>
        </w:tc>
      </w:tr>
      <w:tr>
        <w:tc>
          <w:tcPr>
            <w:tcW w:type="dxa" w:w="1701"/>
            <w:shd w:fill="EAF4FA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263640"/>
                <w:sz w:val="17"/>
              </w:rPr>
              <w:t>系统浏览器</w:t>
            </w:r>
          </w:p>
        </w:tc>
        <w:tc>
          <w:tcPr>
            <w:tcW w:type="dxa" w:w="3458"/>
            <w:shd w:fill="EAF4FA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63640"/>
                <w:sz w:val="17"/>
              </w:rPr>
              <w:t>打开带认证信息的本地地址</w:t>
            </w:r>
          </w:p>
        </w:tc>
        <w:tc>
          <w:tcPr>
            <w:tcW w:type="dxa" w:w="4592"/>
            <w:shd w:fill="EAF4FA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63640"/>
                <w:sz w:val="17"/>
              </w:rPr>
              <w:t>需要更大窗口或浏览器功能时</w:t>
            </w:r>
          </w:p>
        </w:tc>
      </w:tr>
      <w:tr>
        <w:tc>
          <w:tcPr>
            <w:tcW w:type="dxa" w:w="1701"/>
            <w:shd w:fill="FFFFFF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263640"/>
                <w:sz w:val="17"/>
              </w:rPr>
              <w:t>控制台概览</w:t>
            </w:r>
          </w:p>
        </w:tc>
        <w:tc>
          <w:tcPr>
            <w:tcW w:type="dxa" w:w="3458"/>
            <w:shd w:fill="FFFFFF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263640"/>
                <w:sz w:val="17"/>
              </w:rPr>
              <w:t>服务状态、URL、dsh 入口、版本、数据目录</w:t>
            </w:r>
          </w:p>
        </w:tc>
        <w:tc>
          <w:tcPr>
            <w:tcW w:type="dxa" w:w="4592"/>
            <w:shd w:fill="FFFFFF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63640"/>
                <w:sz w:val="17"/>
              </w:rPr>
              <w:t>定位环境与排障</w:t>
            </w:r>
          </w:p>
        </w:tc>
      </w:tr>
      <w:tr>
        <w:tc>
          <w:tcPr>
            <w:tcW w:type="dxa" w:w="1701"/>
            <w:shd w:fill="EAF4FA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263640"/>
                <w:sz w:val="17"/>
              </w:rPr>
              <w:t>日志筛选</w:t>
            </w:r>
          </w:p>
        </w:tc>
        <w:tc>
          <w:tcPr>
            <w:tcW w:type="dxa" w:w="3458"/>
            <w:shd w:fill="EAF4FA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263640"/>
                <w:sz w:val="17"/>
              </w:rPr>
              <w:t>服务日志、命令输出、系统安装、仅错误</w:t>
            </w:r>
          </w:p>
        </w:tc>
        <w:tc>
          <w:tcPr>
            <w:tcW w:type="dxa" w:w="4592"/>
            <w:shd w:fill="EAF4FA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63640"/>
                <w:sz w:val="17"/>
              </w:rPr>
              <w:t>启动失败或插件安装失败时</w:t>
            </w:r>
          </w:p>
        </w:tc>
      </w:tr>
      <w:tr>
        <w:tc>
          <w:tcPr>
            <w:tcW w:type="dxa" w:w="1701"/>
            <w:shd w:fill="FFFFFF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263640"/>
                <w:sz w:val="17"/>
              </w:rPr>
              <w:t>命令栏</w:t>
            </w:r>
          </w:p>
        </w:tc>
        <w:tc>
          <w:tcPr>
            <w:tcW w:type="dxa" w:w="3458"/>
            <w:shd w:fill="FFFFFF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263640"/>
                <w:sz w:val="17"/>
              </w:rPr>
              <w:t>执行 dsh 或其他命令，可停止运行中的命令</w:t>
            </w:r>
          </w:p>
        </w:tc>
        <w:tc>
          <w:tcPr>
            <w:tcW w:type="dxa" w:w="4592"/>
            <w:shd w:fill="FFFFFF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63640"/>
                <w:sz w:val="17"/>
              </w:rPr>
              <w:t>高级操作或官方文档给出命令时</w:t>
            </w:r>
          </w:p>
        </w:tc>
      </w:tr>
    </w:tbl>
    <w:p>
      <w:pPr>
        <w:spacing w:after="0"/>
      </w:pPr>
    </w:p>
    <w:p>
      <w:pPr>
        <w:pStyle w:val="Heading2"/>
        <w:keepNext/>
        <w:spacing w:before="140" w:after="80"/>
      </w:pPr>
      <w:r>
        <w:rPr>
          <w:rFonts w:ascii="Microsoft YaHei" w:hAnsi="Microsoft YaHei" w:eastAsia="Microsoft YaHei"/>
          <w:b/>
          <w:color w:val="000000"/>
          <w:sz w:val="25"/>
        </w:rPr>
        <w:t>预置快捷命令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18"/>
        <w:gridCol w:w="5018"/>
      </w:tblGrid>
      <w:tr>
        <w:trPr>
          <w:tblHeader w:val="true"/>
        </w:trPr>
        <w:tc>
          <w:tcPr>
            <w:tcW w:type="dxa" w:w="4422"/>
            <w:shd w:fill="183B56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命令</w:t>
            </w:r>
          </w:p>
        </w:tc>
        <w:tc>
          <w:tcPr>
            <w:tcW w:type="dxa" w:w="5329"/>
            <w:shd w:fill="183B56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作用</w:t>
            </w:r>
          </w:p>
        </w:tc>
      </w:tr>
      <w:tr>
        <w:tc>
          <w:tcPr>
            <w:tcW w:type="dxa" w:w="4422"/>
            <w:shd w:fill="FFFFFF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263640"/>
                <w:sz w:val="17"/>
              </w:rPr>
              <w:t>dsh --version</w:t>
            </w:r>
          </w:p>
        </w:tc>
        <w:tc>
          <w:tcPr>
            <w:tcW w:type="dxa" w:w="5329"/>
            <w:shd w:fill="FFFFFF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63640"/>
                <w:sz w:val="17"/>
              </w:rPr>
              <w:t>查看当前 DSH 版本</w:t>
            </w:r>
          </w:p>
        </w:tc>
      </w:tr>
      <w:tr>
        <w:tc>
          <w:tcPr>
            <w:tcW w:type="dxa" w:w="4422"/>
            <w:shd w:fill="EAF4FA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263640"/>
                <w:sz w:val="17"/>
              </w:rPr>
              <w:t>dsh plugin --profile web list</w:t>
            </w:r>
          </w:p>
        </w:tc>
        <w:tc>
          <w:tcPr>
            <w:tcW w:type="dxa" w:w="5329"/>
            <w:shd w:fill="EAF4FA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263640"/>
                <w:sz w:val="17"/>
              </w:rPr>
              <w:t>列出当前 Profile 的插件</w:t>
            </w:r>
          </w:p>
        </w:tc>
      </w:tr>
      <w:tr>
        <w:tc>
          <w:tcPr>
            <w:tcW w:type="dxa" w:w="4422"/>
            <w:shd w:fill="FFFFFF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263640"/>
                <w:sz w:val="17"/>
              </w:rPr>
              <w:t>dsh plugin --profile web add …</w:t>
            </w:r>
          </w:p>
        </w:tc>
        <w:tc>
          <w:tcPr>
            <w:tcW w:type="dxa" w:w="5329"/>
            <w:shd w:fill="FFFFFF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63640"/>
                <w:sz w:val="17"/>
              </w:rPr>
              <w:t>安装插件</w:t>
            </w:r>
          </w:p>
        </w:tc>
      </w:tr>
      <w:tr>
        <w:tc>
          <w:tcPr>
            <w:tcW w:type="dxa" w:w="4422"/>
            <w:shd w:fill="EAF4FA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263640"/>
                <w:sz w:val="17"/>
              </w:rPr>
              <w:t>dsh plugin --profile web remove …</w:t>
            </w:r>
          </w:p>
        </w:tc>
        <w:tc>
          <w:tcPr>
            <w:tcW w:type="dxa" w:w="5329"/>
            <w:shd w:fill="EAF4FA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63640"/>
                <w:sz w:val="17"/>
              </w:rPr>
              <w:t>移除插件</w:t>
            </w:r>
          </w:p>
        </w:tc>
      </w:tr>
      <w:tr>
        <w:tc>
          <w:tcPr>
            <w:tcW w:type="dxa" w:w="4422"/>
            <w:shd w:fill="FFFFFF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263640"/>
                <w:sz w:val="17"/>
              </w:rPr>
              <w:t>dsh --profile web --dump-config</w:t>
            </w:r>
          </w:p>
        </w:tc>
        <w:tc>
          <w:tcPr>
            <w:tcW w:type="dxa" w:w="5329"/>
            <w:shd w:fill="FFFFFF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63640"/>
                <w:sz w:val="17"/>
              </w:rPr>
              <w:t>查看最终启动的插件树</w:t>
            </w:r>
          </w:p>
        </w:tc>
      </w:tr>
      <w:tr>
        <w:tc>
          <w:tcPr>
            <w:tcW w:type="dxa" w:w="4422"/>
            <w:shd w:fill="EAF4FA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263640"/>
                <w:sz w:val="17"/>
              </w:rPr>
              <w:t>dsh --help</w:t>
            </w:r>
          </w:p>
        </w:tc>
        <w:tc>
          <w:tcPr>
            <w:tcW w:type="dxa" w:w="5329"/>
            <w:shd w:fill="EAF4FA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63640"/>
                <w:sz w:val="17"/>
              </w:rPr>
              <w:t>查看命令帮助</w:t>
            </w:r>
          </w:p>
        </w:tc>
      </w:tr>
    </w:tbl>
    <w:p>
      <w:pPr>
        <w:spacing w:after="0"/>
      </w:pPr>
    </w:p>
    <w:p>
      <w:pPr>
        <w:spacing w:after="100" w:line="283" w:lineRule="auto"/>
      </w:pPr>
      <w:r>
        <w:rPr>
          <w:rFonts w:ascii="Microsoft YaHei" w:hAnsi="Microsoft YaHei" w:eastAsia="Microsoft YaHei"/>
          <w:b w:val="0"/>
          <w:color w:val="263640"/>
          <w:sz w:val="19"/>
        </w:rPr>
        <w:t>业务用户应主要通过控制台查看日志，不应执行来源不明或含义不清的命令。仅在可信文档明确提供命令及操作范围时执行。</w:t>
      </w:r>
    </w:p>
    <w:p>
      <w:r>
        <w:br w:type="page"/>
      </w:r>
    </w:p>
    <w:p>
      <w:pPr>
        <w:spacing w:after="0" w:line="560" w:lineRule="exact"/>
      </w:pPr>
      <w:r>
        <w:rPr>
          <w:rFonts w:ascii="Microsoft YaHei" w:hAnsi="Microsoft YaHei" w:eastAsia="Microsoft YaHei"/>
          <w:b w:val="0"/>
          <w:color w:val="FFFFFF"/>
          <w:sz w:val="16"/>
        </w:rPr>
        <w:t xml:space="preserve"> </w:t>
      </w:r>
    </w:p>
    <w:p>
      <w:pPr>
        <w:spacing w:after="20"/>
      </w:pPr>
      <w:r>
        <w:rPr>
          <w:rFonts w:ascii="Microsoft YaHei" w:hAnsi="Microsoft YaHei" w:eastAsia="Microsoft YaHei"/>
          <w:b/>
          <w:color w:val="1F6FA8"/>
          <w:sz w:val="17"/>
        </w:rPr>
        <w:t>第四部分 Harness Desktop</w:t>
      </w:r>
    </w:p>
    <w:p>
      <w:pPr>
        <w:pStyle w:val="Heading1"/>
        <w:keepNext/>
        <w:spacing w:after="140"/>
      </w:pPr>
      <w:r>
        <w:rPr>
          <w:rFonts w:ascii="Microsoft YaHei" w:hAnsi="Microsoft YaHei" w:eastAsia="Microsoft YaHei"/>
          <w:b/>
          <w:color w:val="000000"/>
          <w:sz w:val="38"/>
        </w:rPr>
        <w:t>设置 版本与插件管理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45"/>
        <w:gridCol w:w="3345"/>
        <w:gridCol w:w="3345"/>
      </w:tblGrid>
      <w:tr>
        <w:trPr>
          <w:tblHeader w:val="true"/>
        </w:trPr>
        <w:tc>
          <w:tcPr>
            <w:tcW w:type="dxa" w:w="1871"/>
            <w:shd w:fill="183B56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设置分组</w:t>
            </w:r>
          </w:p>
        </w:tc>
        <w:tc>
          <w:tcPr>
            <w:tcW w:type="dxa" w:w="3969"/>
            <w:shd w:fill="183B56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可配置项</w:t>
            </w:r>
          </w:p>
        </w:tc>
        <w:tc>
          <w:tcPr>
            <w:tcW w:type="dxa" w:w="3912"/>
            <w:shd w:fill="183B56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影响</w:t>
            </w:r>
          </w:p>
        </w:tc>
      </w:tr>
      <w:tr>
        <w:tc>
          <w:tcPr>
            <w:tcW w:type="dxa" w:w="1871"/>
            <w:shd w:fill="FFFFFF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263640"/>
                <w:sz w:val="17"/>
              </w:rPr>
              <w:t>DeepSeek Harness</w:t>
            </w:r>
          </w:p>
        </w:tc>
        <w:tc>
          <w:tcPr>
            <w:tcW w:type="dxa" w:w="3969"/>
            <w:shd w:fill="FFFFFF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263640"/>
                <w:sz w:val="17"/>
              </w:rPr>
              <w:t>工作目录、Profile、端口、额外启动参数、Plugin Hub 检查</w:t>
            </w:r>
          </w:p>
        </w:tc>
        <w:tc>
          <w:tcPr>
            <w:tcW w:type="dxa" w:w="3912"/>
            <w:shd w:fill="FFFFFF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63640"/>
                <w:sz w:val="17"/>
              </w:rPr>
              <w:t>改变 DSH 的启动方式</w:t>
            </w:r>
          </w:p>
        </w:tc>
      </w:tr>
      <w:tr>
        <w:tc>
          <w:tcPr>
            <w:tcW w:type="dxa" w:w="1871"/>
            <w:shd w:fill="EAF4FA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263640"/>
                <w:sz w:val="17"/>
              </w:rPr>
              <w:t>运行环境路径</w:t>
            </w:r>
          </w:p>
        </w:tc>
        <w:tc>
          <w:tcPr>
            <w:tcW w:type="dxa" w:w="3969"/>
            <w:shd w:fill="EAF4FA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263640"/>
                <w:sz w:val="17"/>
              </w:rPr>
              <w:t>Node.js、pnpm、dsh 的自动检测或手动路径</w:t>
            </w:r>
          </w:p>
        </w:tc>
        <w:tc>
          <w:tcPr>
            <w:tcW w:type="dxa" w:w="3912"/>
            <w:shd w:fill="EAF4FA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63640"/>
                <w:sz w:val="17"/>
              </w:rPr>
              <w:t>处理多版本冲突或路径识别问题</w:t>
            </w:r>
          </w:p>
        </w:tc>
      </w:tr>
      <w:tr>
        <w:tc>
          <w:tcPr>
            <w:tcW w:type="dxa" w:w="1871"/>
            <w:shd w:fill="FFFFFF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263640"/>
                <w:sz w:val="17"/>
              </w:rPr>
              <w:t>窗口与后台</w:t>
            </w:r>
          </w:p>
        </w:tc>
        <w:tc>
          <w:tcPr>
            <w:tcW w:type="dxa" w:w="3969"/>
            <w:shd w:fill="FFFFFF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263640"/>
                <w:sz w:val="17"/>
              </w:rPr>
              <w:t>关闭动作、插件变更后的处理、开机后台预启动</w:t>
            </w:r>
          </w:p>
        </w:tc>
        <w:tc>
          <w:tcPr>
            <w:tcW w:type="dxa" w:w="3912"/>
            <w:shd w:fill="FFFFFF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63640"/>
                <w:sz w:val="17"/>
              </w:rPr>
              <w:t>决定托盘和重启体验</w:t>
            </w:r>
          </w:p>
        </w:tc>
      </w:tr>
      <w:tr>
        <w:tc>
          <w:tcPr>
            <w:tcW w:type="dxa" w:w="1871"/>
            <w:shd w:fill="EAF4FA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263640"/>
                <w:sz w:val="17"/>
              </w:rPr>
              <w:t>下载与版本</w:t>
            </w:r>
          </w:p>
        </w:tc>
        <w:tc>
          <w:tcPr>
            <w:tcW w:type="dxa" w:w="3969"/>
            <w:shd w:fill="EAF4FA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263640"/>
                <w:sz w:val="17"/>
              </w:rPr>
              <w:t>镜像源、测速、自定义源、安装目录、版本管理</w:t>
            </w:r>
          </w:p>
        </w:tc>
        <w:tc>
          <w:tcPr>
            <w:tcW w:type="dxa" w:w="3912"/>
            <w:shd w:fill="EAF4FA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63640"/>
                <w:sz w:val="17"/>
              </w:rPr>
              <w:t>影响下载速度与版本选择</w:t>
            </w:r>
          </w:p>
        </w:tc>
      </w:tr>
    </w:tbl>
    <w:p>
      <w:pPr>
        <w:spacing w:after="0"/>
      </w:pPr>
    </w:p>
    <w:p>
      <w:pPr>
        <w:pStyle w:val="Heading2"/>
        <w:keepNext/>
        <w:spacing w:before="140" w:after="80"/>
      </w:pPr>
      <w:r>
        <w:rPr>
          <w:rFonts w:ascii="Microsoft YaHei" w:hAnsi="Microsoft YaHei" w:eastAsia="Microsoft YaHei"/>
          <w:b/>
          <w:color w:val="000000"/>
          <w:sz w:val="25"/>
        </w:rPr>
        <w:t>重要运行规则</w:t>
      </w:r>
    </w:p>
    <w:p>
      <w:pPr>
        <w:pStyle w:val="ListBullet"/>
        <w:spacing w:after="60" w:line="264" w:lineRule="auto"/>
      </w:pPr>
      <w:r>
        <w:rPr>
          <w:rFonts w:ascii="Microsoft YaHei" w:hAnsi="Microsoft YaHei" w:eastAsia="Microsoft YaHei"/>
          <w:b w:val="0"/>
          <w:color w:val="263640"/>
          <w:sz w:val="19"/>
        </w:rPr>
        <w:t>默认端口为 3080，设置为 0 时使用随机端口。指定端口被占用后，服务等待约 3 秒并自动切换至随机端口。</w:t>
      </w:r>
    </w:p>
    <w:p>
      <w:pPr>
        <w:pStyle w:val="ListBullet"/>
        <w:spacing w:after="60" w:line="264" w:lineRule="auto"/>
      </w:pPr>
      <w:r>
        <w:rPr>
          <w:rFonts w:ascii="Microsoft YaHei" w:hAnsi="Microsoft YaHei" w:eastAsia="Microsoft YaHei"/>
          <w:b w:val="0"/>
          <w:color w:val="263640"/>
          <w:sz w:val="19"/>
        </w:rPr>
        <w:t>插件发生变化后，可设置为提示重启、自动重启或忽略。服务未重启时，新插件通常不会立即生效。</w:t>
      </w:r>
    </w:p>
    <w:p>
      <w:pPr>
        <w:pStyle w:val="ListBullet"/>
        <w:spacing w:after="60" w:line="264" w:lineRule="auto"/>
      </w:pPr>
      <w:r>
        <w:rPr>
          <w:rFonts w:ascii="Microsoft YaHei" w:hAnsi="Microsoft YaHei" w:eastAsia="Microsoft YaHei"/>
          <w:b w:val="0"/>
          <w:color w:val="263640"/>
          <w:sz w:val="19"/>
        </w:rPr>
        <w:t>版本管理支持升级与回退。程序在更新前停止服务，并在完成后自动重启。由于回退可能导致插件不兼容，程序将要求二次确认。</w:t>
      </w:r>
    </w:p>
    <w:p>
      <w:pPr>
        <w:pStyle w:val="ListBullet"/>
        <w:spacing w:after="60" w:line="264" w:lineRule="auto"/>
      </w:pPr>
      <w:r>
        <w:rPr>
          <w:rFonts w:ascii="Microsoft YaHei" w:hAnsi="Microsoft YaHei" w:eastAsia="Microsoft YaHei"/>
          <w:b w:val="0"/>
          <w:color w:val="263640"/>
          <w:sz w:val="19"/>
        </w:rPr>
        <w:t>Plugin Hub 缺失时可自动安装；pnpm 缺失时将自动安装 pnpm 11。Plugin Hub 安装失败会产生警告，但不阻止 DSH 启动。该检查开关与顶栏的“安装插件”功能相互独立。</w:t>
      </w:r>
    </w:p>
    <w:p>
      <w:pPr>
        <w:pStyle w:val="ListBullet"/>
        <w:spacing w:after="60" w:line="264" w:lineRule="auto"/>
      </w:pPr>
      <w:r>
        <w:rPr>
          <w:rFonts w:ascii="Microsoft YaHei" w:hAnsi="Microsoft YaHei" w:eastAsia="Microsoft YaHei"/>
          <w:b w:val="0"/>
          <w:color w:val="263640"/>
          <w:sz w:val="19"/>
        </w:rPr>
        <w:t>关闭窗口可选择最小化到托盘或完全退出。完全退出会停止 DSH、控制台命令和相关子进程。</w:t>
      </w:r>
    </w:p>
    <w:p>
      <w:pPr>
        <w:spacing w:after="100" w:line="283" w:lineRule="auto"/>
      </w:pPr>
      <w:r>
        <w:rPr>
          <w:rFonts w:ascii="Microsoft YaHei" w:hAnsi="Microsoft YaHei" w:eastAsia="Microsoft YaHei"/>
          <w:b w:val="0"/>
          <w:color w:val="263640"/>
          <w:sz w:val="19"/>
        </w:rPr>
        <w:t>设置变更涉及路径、工作目录、Profile、端口、额外参数或镜像源时，需要重启 DSH 才能完全生效。</w:t>
      </w:r>
    </w:p>
    <w:p>
      <w:r>
        <w:br w:type="page"/>
      </w:r>
    </w:p>
    <w:p>
      <w:pPr>
        <w:spacing w:after="0" w:line="560" w:lineRule="exact"/>
      </w:pPr>
      <w:r>
        <w:rPr>
          <w:rFonts w:ascii="Microsoft YaHei" w:hAnsi="Microsoft YaHei" w:eastAsia="Microsoft YaHei"/>
          <w:b w:val="0"/>
          <w:color w:val="FFFFFF"/>
          <w:sz w:val="16"/>
        </w:rPr>
        <w:t xml:space="preserve"> </w:t>
      </w:r>
    </w:p>
    <w:p>
      <w:pPr>
        <w:spacing w:after="20"/>
      </w:pPr>
      <w:r>
        <w:rPr>
          <w:rFonts w:ascii="Microsoft YaHei" w:hAnsi="Microsoft YaHei" w:eastAsia="Microsoft YaHei"/>
          <w:b/>
          <w:color w:val="1F6FA8"/>
          <w:sz w:val="17"/>
        </w:rPr>
        <w:t>第五部分 产品比较与选择</w:t>
      </w:r>
    </w:p>
    <w:p>
      <w:pPr>
        <w:pStyle w:val="Heading1"/>
        <w:keepNext/>
        <w:spacing w:after="140"/>
      </w:pPr>
      <w:r>
        <w:rPr>
          <w:rFonts w:ascii="Microsoft YaHei" w:hAnsi="Microsoft YaHei" w:eastAsia="Microsoft YaHei"/>
          <w:b/>
          <w:color w:val="000000"/>
          <w:sz w:val="38"/>
        </w:rPr>
        <w:t>产品定位与适用对象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09"/>
        <w:gridCol w:w="2509"/>
        <w:gridCol w:w="2509"/>
        <w:gridCol w:w="2509"/>
      </w:tblGrid>
      <w:tr>
        <w:trPr>
          <w:tblHeader w:val="true"/>
        </w:trPr>
        <w:tc>
          <w:tcPr>
            <w:tcW w:type="dxa" w:w="1587"/>
            <w:shd w:fill="183B56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产品</w:t>
            </w:r>
          </w:p>
        </w:tc>
        <w:tc>
          <w:tcPr>
            <w:tcW w:type="dxa" w:w="2268"/>
            <w:shd w:fill="183B56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主要解决的问题</w:t>
            </w:r>
          </w:p>
        </w:tc>
        <w:tc>
          <w:tcPr>
            <w:tcW w:type="dxa" w:w="2494"/>
            <w:shd w:fill="183B56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适用对象</w:t>
            </w:r>
          </w:p>
        </w:tc>
        <w:tc>
          <w:tcPr>
            <w:tcW w:type="dxa" w:w="3402"/>
            <w:shd w:fill="183B56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典型任务</w:t>
            </w:r>
          </w:p>
        </w:tc>
      </w:tr>
      <w:tr>
        <w:tc>
          <w:tcPr>
            <w:tcW w:type="dxa" w:w="1587"/>
            <w:shd w:fill="FFFFFF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263640"/>
                <w:sz w:val="16"/>
              </w:rPr>
              <w:t>WorkBuddy</w:t>
            </w:r>
          </w:p>
        </w:tc>
        <w:tc>
          <w:tcPr>
            <w:tcW w:type="dxa" w:w="2268"/>
            <w:shd w:fill="FFFFFF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63640"/>
                <w:sz w:val="16"/>
              </w:rPr>
              <w:t>通用办公任务的执行与交付</w:t>
            </w:r>
          </w:p>
        </w:tc>
        <w:tc>
          <w:tcPr>
            <w:tcW w:type="dxa" w:w="2494"/>
            <w:shd w:fill="FFFFFF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63640"/>
                <w:sz w:val="16"/>
              </w:rPr>
              <w:t>职场用户与业务团队</w:t>
            </w:r>
          </w:p>
        </w:tc>
        <w:tc>
          <w:tcPr>
            <w:tcW w:type="dxa" w:w="3402"/>
            <w:shd w:fill="FFFFFF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263640"/>
                <w:sz w:val="16"/>
              </w:rPr>
              <w:t>文件整理、数据分析、报告、表格与演示文稿</w:t>
            </w:r>
          </w:p>
        </w:tc>
      </w:tr>
      <w:tr>
        <w:tc>
          <w:tcPr>
            <w:tcW w:type="dxa" w:w="1587"/>
            <w:shd w:fill="EAF4FA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263640"/>
                <w:sz w:val="16"/>
              </w:rPr>
              <w:t>Cursor</w:t>
            </w:r>
          </w:p>
        </w:tc>
        <w:tc>
          <w:tcPr>
            <w:tcW w:type="dxa" w:w="2268"/>
            <w:shd w:fill="EAF4FA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63640"/>
                <w:sz w:val="16"/>
              </w:rPr>
              <w:t>在 IDE 中提高代码开发效率</w:t>
            </w:r>
          </w:p>
        </w:tc>
        <w:tc>
          <w:tcPr>
            <w:tcW w:type="dxa" w:w="2494"/>
            <w:shd w:fill="EAF4FA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63640"/>
                <w:sz w:val="16"/>
              </w:rPr>
              <w:t>偏好图形化编辑器的开发者</w:t>
            </w:r>
          </w:p>
        </w:tc>
        <w:tc>
          <w:tcPr>
            <w:tcW w:type="dxa" w:w="3402"/>
            <w:shd w:fill="EAF4FA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63640"/>
                <w:sz w:val="16"/>
              </w:rPr>
              <w:t>代码问答、修改、运行及差异审阅</w:t>
            </w:r>
          </w:p>
        </w:tc>
      </w:tr>
      <w:tr>
        <w:tc>
          <w:tcPr>
            <w:tcW w:type="dxa" w:w="1587"/>
            <w:shd w:fill="FFFFFF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263640"/>
                <w:sz w:val="16"/>
              </w:rPr>
              <w:t>Claude Code</w:t>
            </w:r>
          </w:p>
        </w:tc>
        <w:tc>
          <w:tcPr>
            <w:tcW w:type="dxa" w:w="2268"/>
            <w:shd w:fill="FFFFFF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263640"/>
                <w:sz w:val="16"/>
              </w:rPr>
              <w:t>通过终端使用 Claude 完成工程任务</w:t>
            </w:r>
          </w:p>
        </w:tc>
        <w:tc>
          <w:tcPr>
            <w:tcW w:type="dxa" w:w="2494"/>
            <w:shd w:fill="FFFFFF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63640"/>
                <w:sz w:val="16"/>
              </w:rPr>
              <w:t>熟悉命令行的开发者</w:t>
            </w:r>
          </w:p>
        </w:tc>
        <w:tc>
          <w:tcPr>
            <w:tcW w:type="dxa" w:w="3402"/>
            <w:shd w:fill="FFFFFF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263640"/>
                <w:sz w:val="16"/>
              </w:rPr>
              <w:t>代码库分析、代码修改、命令执行与 MCP 接入</w:t>
            </w:r>
          </w:p>
        </w:tc>
      </w:tr>
      <w:tr>
        <w:tc>
          <w:tcPr>
            <w:tcW w:type="dxa" w:w="1587"/>
            <w:shd w:fill="EAF4FA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263640"/>
                <w:sz w:val="16"/>
              </w:rPr>
              <w:t>Codex</w:t>
            </w:r>
          </w:p>
        </w:tc>
        <w:tc>
          <w:tcPr>
            <w:tcW w:type="dxa" w:w="2268"/>
            <w:shd w:fill="EAF4FA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263640"/>
                <w:sz w:val="16"/>
              </w:rPr>
              <w:t>将端到端软件工程任务交由 Agent 执行</w:t>
            </w:r>
          </w:p>
        </w:tc>
        <w:tc>
          <w:tcPr>
            <w:tcW w:type="dxa" w:w="2494"/>
            <w:shd w:fill="EAF4FA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63640"/>
                <w:sz w:val="16"/>
              </w:rPr>
              <w:t>开发者与工程团队</w:t>
            </w:r>
          </w:p>
        </w:tc>
        <w:tc>
          <w:tcPr>
            <w:tcW w:type="dxa" w:w="3402"/>
            <w:shd w:fill="EAF4FA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263640"/>
                <w:sz w:val="16"/>
              </w:rPr>
              <w:t>功能开发、重构、迁移、测试与后台任务</w:t>
            </w:r>
          </w:p>
        </w:tc>
      </w:tr>
      <w:tr>
        <w:tc>
          <w:tcPr>
            <w:tcW w:type="dxa" w:w="1587"/>
            <w:shd w:fill="FFFFFF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263640"/>
                <w:sz w:val="16"/>
              </w:rPr>
              <w:t>DeepSeek Harness</w:t>
            </w:r>
          </w:p>
        </w:tc>
        <w:tc>
          <w:tcPr>
            <w:tcW w:type="dxa" w:w="2268"/>
            <w:shd w:fill="FFFFFF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263640"/>
                <w:sz w:val="16"/>
              </w:rPr>
              <w:t>构建和定制 Agent 运行机制</w:t>
            </w:r>
          </w:p>
        </w:tc>
        <w:tc>
          <w:tcPr>
            <w:tcW w:type="dxa" w:w="2494"/>
            <w:shd w:fill="FFFFFF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63640"/>
                <w:sz w:val="16"/>
              </w:rPr>
              <w:t>Agent 开发者与平台团队</w:t>
            </w:r>
          </w:p>
        </w:tc>
        <w:tc>
          <w:tcPr>
            <w:tcW w:type="dxa" w:w="3402"/>
            <w:shd w:fill="FFFFFF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263640"/>
                <w:sz w:val="16"/>
              </w:rPr>
              <w:t>定制模型、Loop、Session、Sandbox 与 UI</w:t>
            </w:r>
          </w:p>
        </w:tc>
      </w:tr>
    </w:tbl>
    <w:p>
      <w:pPr>
        <w:spacing w:after="0"/>
      </w:pPr>
    </w:p>
    <w:p>
      <w:pPr>
        <w:spacing w:after="100" w:line="283" w:lineRule="auto"/>
      </w:pPr>
      <w:r>
        <w:rPr>
          <w:rFonts w:ascii="Microsoft YaHei" w:hAnsi="Microsoft YaHei" w:eastAsia="Microsoft YaHei"/>
          <w:b w:val="0"/>
          <w:color w:val="263640"/>
          <w:sz w:val="20"/>
        </w:rPr>
        <w:t>产品选择应依据任务类型和所需控制深度，而不应仅按业务用户或开发者身份划分。主要差异在于用户是直接使用 Agent 完成工作、使用 Coding Agent 开发软件，还是建设和定制 Agent 运行平台。</w:t>
      </w:r>
    </w:p>
    <w:p>
      <w:pPr>
        <w:pStyle w:val="Heading2"/>
        <w:keepNext/>
        <w:spacing w:before="140" w:after="80"/>
      </w:pPr>
      <w:r>
        <w:rPr>
          <w:rFonts w:ascii="Microsoft YaHei" w:hAnsi="Microsoft YaHei" w:eastAsia="Microsoft YaHei"/>
          <w:b/>
          <w:color w:val="000000"/>
          <w:sz w:val="25"/>
        </w:rPr>
        <w:t>选型建议</w:t>
      </w:r>
    </w:p>
    <w:p>
      <w:pPr>
        <w:pStyle w:val="ListBullet"/>
        <w:spacing w:after="60" w:line="264" w:lineRule="auto"/>
      </w:pPr>
      <w:r>
        <w:rPr>
          <w:rFonts w:ascii="Microsoft YaHei" w:hAnsi="Microsoft YaHei" w:eastAsia="Microsoft YaHei"/>
          <w:b w:val="0"/>
          <w:color w:val="263640"/>
          <w:sz w:val="19"/>
        </w:rPr>
        <w:t>通用办公任务可优先评估 WorkBuddy 等成品办公 Agent。</w:t>
      </w:r>
    </w:p>
    <w:p>
      <w:pPr>
        <w:pStyle w:val="ListBullet"/>
        <w:spacing w:after="60" w:line="264" w:lineRule="auto"/>
      </w:pPr>
      <w:r>
        <w:rPr>
          <w:rFonts w:ascii="Microsoft YaHei" w:hAnsi="Microsoft YaHei" w:eastAsia="Microsoft YaHei"/>
          <w:b w:val="0"/>
          <w:color w:val="263640"/>
          <w:sz w:val="19"/>
        </w:rPr>
        <w:t>软件开发任务可优先评估 Cursor、Claude Code 或 Codex。</w:t>
      </w:r>
    </w:p>
    <w:p>
      <w:pPr>
        <w:pStyle w:val="ListBullet"/>
        <w:spacing w:after="60" w:line="264" w:lineRule="auto"/>
      </w:pPr>
      <w:r>
        <w:rPr>
          <w:rFonts w:ascii="Microsoft YaHei" w:hAnsi="Microsoft YaHei" w:eastAsia="Microsoft YaHei"/>
          <w:b w:val="0"/>
          <w:color w:val="263640"/>
          <w:sz w:val="19"/>
        </w:rPr>
        <w:t>Agent 平台建设或运行机制深度定制可重点评估 DeepSeek Harness。</w:t>
      </w:r>
    </w:p>
    <w:p>
      <w:r>
        <w:br w:type="page"/>
      </w:r>
    </w:p>
    <w:p>
      <w:pPr>
        <w:spacing w:after="0" w:line="560" w:lineRule="exact"/>
      </w:pPr>
      <w:r>
        <w:rPr>
          <w:rFonts w:ascii="Microsoft YaHei" w:hAnsi="Microsoft YaHei" w:eastAsia="Microsoft YaHei"/>
          <w:b w:val="0"/>
          <w:color w:val="FFFFFF"/>
          <w:sz w:val="16"/>
        </w:rPr>
        <w:t xml:space="preserve"> </w:t>
      </w:r>
    </w:p>
    <w:p>
      <w:pPr>
        <w:spacing w:after="20"/>
      </w:pPr>
      <w:r>
        <w:rPr>
          <w:rFonts w:ascii="Microsoft YaHei" w:hAnsi="Microsoft YaHei" w:eastAsia="Microsoft YaHei"/>
          <w:b/>
          <w:color w:val="1F6FA8"/>
          <w:sz w:val="17"/>
        </w:rPr>
        <w:t>第五部分 产品比较与选择</w:t>
      </w:r>
    </w:p>
    <w:p>
      <w:pPr>
        <w:pStyle w:val="Heading1"/>
        <w:keepNext/>
        <w:spacing w:after="140"/>
      </w:pPr>
      <w:r>
        <w:rPr>
          <w:rFonts w:ascii="Microsoft YaHei" w:hAnsi="Microsoft YaHei" w:eastAsia="Microsoft YaHei"/>
          <w:b/>
          <w:color w:val="000000"/>
          <w:sz w:val="38"/>
        </w:rPr>
        <w:t>Harness 可配置深度比较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673"/>
        <w:gridCol w:w="1673"/>
        <w:gridCol w:w="1673"/>
        <w:gridCol w:w="1673"/>
        <w:gridCol w:w="1673"/>
        <w:gridCol w:w="1673"/>
      </w:tblGrid>
      <w:tr>
        <w:trPr>
          <w:tblHeader w:val="true"/>
        </w:trPr>
        <w:tc>
          <w:tcPr>
            <w:tcW w:type="dxa" w:w="1531"/>
            <w:shd w:fill="183B56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5"/>
              </w:rPr>
              <w:t>维度</w:t>
            </w:r>
          </w:p>
        </w:tc>
        <w:tc>
          <w:tcPr>
            <w:tcW w:type="dxa" w:w="1587"/>
            <w:shd w:fill="183B56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5"/>
              </w:rPr>
              <w:t>WorkBuddy</w:t>
            </w:r>
          </w:p>
        </w:tc>
        <w:tc>
          <w:tcPr>
            <w:tcW w:type="dxa" w:w="1417"/>
            <w:shd w:fill="183B56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5"/>
              </w:rPr>
              <w:t>Cursor</w:t>
            </w:r>
          </w:p>
        </w:tc>
        <w:tc>
          <w:tcPr>
            <w:tcW w:type="dxa" w:w="1701"/>
            <w:shd w:fill="183B56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5"/>
              </w:rPr>
              <w:t>Claude Code</w:t>
            </w:r>
          </w:p>
        </w:tc>
        <w:tc>
          <w:tcPr>
            <w:tcW w:type="dxa" w:w="1531"/>
            <w:shd w:fill="183B56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5"/>
              </w:rPr>
              <w:t>Codex</w:t>
            </w:r>
          </w:p>
        </w:tc>
        <w:tc>
          <w:tcPr>
            <w:tcW w:type="dxa" w:w="1814"/>
            <w:shd w:fill="183B56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5"/>
              </w:rPr>
              <w:t>DSH</w:t>
            </w:r>
          </w:p>
        </w:tc>
      </w:tr>
      <w:tr>
        <w:tc>
          <w:tcPr>
            <w:tcW w:type="dxa" w:w="1531"/>
            <w:shd w:fill="FFFFFF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263640"/>
                <w:sz w:val="15"/>
              </w:rPr>
              <w:t>主要界面</w:t>
            </w:r>
          </w:p>
        </w:tc>
        <w:tc>
          <w:tcPr>
            <w:tcW w:type="dxa" w:w="1587"/>
            <w:shd w:fill="FFFFFF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63640"/>
                <w:sz w:val="15"/>
              </w:rPr>
              <w:t>桌面工作台</w:t>
            </w:r>
          </w:p>
        </w:tc>
        <w:tc>
          <w:tcPr>
            <w:tcW w:type="dxa" w:w="1417"/>
            <w:shd w:fill="FFFFFF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63640"/>
                <w:sz w:val="15"/>
              </w:rPr>
              <w:t>AI IDE</w:t>
            </w:r>
          </w:p>
        </w:tc>
        <w:tc>
          <w:tcPr>
            <w:tcW w:type="dxa" w:w="1701"/>
            <w:shd w:fill="FFFFFF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63640"/>
                <w:sz w:val="15"/>
              </w:rPr>
              <w:t>终端/IDE 集成</w:t>
            </w:r>
          </w:p>
        </w:tc>
        <w:tc>
          <w:tcPr>
            <w:tcW w:type="dxa" w:w="1531"/>
            <w:shd w:fill="FFFFFF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63640"/>
                <w:sz w:val="15"/>
              </w:rPr>
              <w:t>桌面/CLI/云</w:t>
            </w:r>
          </w:p>
        </w:tc>
        <w:tc>
          <w:tcPr>
            <w:tcW w:type="dxa" w:w="1814"/>
            <w:shd w:fill="FFFFFF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63640"/>
                <w:sz w:val="15"/>
              </w:rPr>
              <w:t>Web/CLI/SDK</w:t>
            </w:r>
          </w:p>
        </w:tc>
      </w:tr>
      <w:tr>
        <w:tc>
          <w:tcPr>
            <w:tcW w:type="dxa" w:w="1531"/>
            <w:shd w:fill="EAF4FA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263640"/>
                <w:sz w:val="15"/>
              </w:rPr>
              <w:t>核心任务</w:t>
            </w:r>
          </w:p>
        </w:tc>
        <w:tc>
          <w:tcPr>
            <w:tcW w:type="dxa" w:w="1587"/>
            <w:shd w:fill="EAF4FA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63640"/>
                <w:sz w:val="15"/>
              </w:rPr>
              <w:t>办公交付</w:t>
            </w:r>
          </w:p>
        </w:tc>
        <w:tc>
          <w:tcPr>
            <w:tcW w:type="dxa" w:w="1417"/>
            <w:shd w:fill="EAF4FA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63640"/>
                <w:sz w:val="15"/>
              </w:rPr>
              <w:t>软件开发</w:t>
            </w:r>
          </w:p>
        </w:tc>
        <w:tc>
          <w:tcPr>
            <w:tcW w:type="dxa" w:w="1701"/>
            <w:shd w:fill="EAF4FA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63640"/>
                <w:sz w:val="15"/>
              </w:rPr>
              <w:t>软件开发</w:t>
            </w:r>
          </w:p>
        </w:tc>
        <w:tc>
          <w:tcPr>
            <w:tcW w:type="dxa" w:w="1531"/>
            <w:shd w:fill="EAF4FA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63640"/>
                <w:sz w:val="15"/>
              </w:rPr>
              <w:t>软件工程</w:t>
            </w:r>
          </w:p>
        </w:tc>
        <w:tc>
          <w:tcPr>
            <w:tcW w:type="dxa" w:w="1814"/>
            <w:shd w:fill="EAF4FA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263640"/>
                <w:sz w:val="15"/>
              </w:rPr>
              <w:t>构建 Agent Runtime</w:t>
            </w:r>
          </w:p>
        </w:tc>
      </w:tr>
      <w:tr>
        <w:tc>
          <w:tcPr>
            <w:tcW w:type="dxa" w:w="1531"/>
            <w:shd w:fill="FFFFFF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263640"/>
                <w:sz w:val="15"/>
              </w:rPr>
              <w:t>模型选择</w:t>
            </w:r>
          </w:p>
        </w:tc>
        <w:tc>
          <w:tcPr>
            <w:tcW w:type="dxa" w:w="1587"/>
            <w:shd w:fill="FFFFFF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63640"/>
                <w:sz w:val="15"/>
              </w:rPr>
              <w:t>多模型产品配置</w:t>
            </w:r>
          </w:p>
        </w:tc>
        <w:tc>
          <w:tcPr>
            <w:tcW w:type="dxa" w:w="1417"/>
            <w:shd w:fill="FFFFFF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63640"/>
                <w:sz w:val="15"/>
              </w:rPr>
              <w:t>多模型</w:t>
            </w:r>
          </w:p>
        </w:tc>
        <w:tc>
          <w:tcPr>
            <w:tcW w:type="dxa" w:w="1701"/>
            <w:shd w:fill="FFFFFF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63640"/>
                <w:sz w:val="15"/>
              </w:rPr>
              <w:t>Claude 为核心</w:t>
            </w:r>
          </w:p>
        </w:tc>
        <w:tc>
          <w:tcPr>
            <w:tcW w:type="dxa" w:w="1531"/>
            <w:shd w:fill="FFFFFF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63640"/>
                <w:sz w:val="15"/>
              </w:rPr>
              <w:t>OpenAI 模型为核心</w:t>
            </w:r>
          </w:p>
        </w:tc>
        <w:tc>
          <w:tcPr>
            <w:tcW w:type="dxa" w:w="1814"/>
            <w:shd w:fill="FFFFFF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63640"/>
                <w:sz w:val="15"/>
              </w:rPr>
              <w:t>模型适配器可组合</w:t>
            </w:r>
          </w:p>
        </w:tc>
      </w:tr>
      <w:tr>
        <w:tc>
          <w:tcPr>
            <w:tcW w:type="dxa" w:w="1531"/>
            <w:shd w:fill="EAF4FA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263640"/>
                <w:sz w:val="15"/>
              </w:rPr>
              <w:t>工具扩展</w:t>
            </w:r>
          </w:p>
        </w:tc>
        <w:tc>
          <w:tcPr>
            <w:tcW w:type="dxa" w:w="1587"/>
            <w:shd w:fill="EAF4FA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63640"/>
                <w:sz w:val="15"/>
              </w:rPr>
              <w:t>Skills/MCP/连接器</w:t>
            </w:r>
          </w:p>
        </w:tc>
        <w:tc>
          <w:tcPr>
            <w:tcW w:type="dxa" w:w="1417"/>
            <w:shd w:fill="EAF4FA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63640"/>
                <w:sz w:val="15"/>
              </w:rPr>
              <w:t>工具/MCP/规则</w:t>
            </w:r>
          </w:p>
        </w:tc>
        <w:tc>
          <w:tcPr>
            <w:tcW w:type="dxa" w:w="1701"/>
            <w:shd w:fill="EAF4FA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63640"/>
                <w:sz w:val="15"/>
              </w:rPr>
              <w:t>工具/MCP/权限</w:t>
            </w:r>
          </w:p>
        </w:tc>
        <w:tc>
          <w:tcPr>
            <w:tcW w:type="dxa" w:w="1531"/>
            <w:shd w:fill="EAF4FA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63640"/>
                <w:sz w:val="15"/>
              </w:rPr>
              <w:t>Skills/MCP/工具</w:t>
            </w:r>
          </w:p>
        </w:tc>
        <w:tc>
          <w:tcPr>
            <w:tcW w:type="dxa" w:w="1814"/>
            <w:shd w:fill="EAF4FA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63640"/>
                <w:sz w:val="15"/>
              </w:rPr>
              <w:t>插件/工具/MCP</w:t>
            </w:r>
          </w:p>
        </w:tc>
      </w:tr>
      <w:tr>
        <w:tc>
          <w:tcPr>
            <w:tcW w:type="dxa" w:w="1531"/>
            <w:shd w:fill="FFFFFF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263640"/>
                <w:sz w:val="15"/>
              </w:rPr>
              <w:t>Agent Loop</w:t>
            </w:r>
          </w:p>
        </w:tc>
        <w:tc>
          <w:tcPr>
            <w:tcW w:type="dxa" w:w="1587"/>
            <w:shd w:fill="FFFFFF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63640"/>
                <w:sz w:val="15"/>
              </w:rPr>
              <w:t>厂商管理</w:t>
            </w:r>
          </w:p>
        </w:tc>
        <w:tc>
          <w:tcPr>
            <w:tcW w:type="dxa" w:w="1417"/>
            <w:shd w:fill="FFFFFF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63640"/>
                <w:sz w:val="15"/>
              </w:rPr>
              <w:t>厂商管理</w:t>
            </w:r>
          </w:p>
        </w:tc>
        <w:tc>
          <w:tcPr>
            <w:tcW w:type="dxa" w:w="1701"/>
            <w:shd w:fill="FFFFFF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63640"/>
                <w:sz w:val="15"/>
              </w:rPr>
              <w:t>厂商管理</w:t>
            </w:r>
          </w:p>
        </w:tc>
        <w:tc>
          <w:tcPr>
            <w:tcW w:type="dxa" w:w="1531"/>
            <w:shd w:fill="FFFFFF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63640"/>
                <w:sz w:val="15"/>
              </w:rPr>
              <w:t>厂商管理</w:t>
            </w:r>
          </w:p>
        </w:tc>
        <w:tc>
          <w:tcPr>
            <w:tcW w:type="dxa" w:w="1814"/>
            <w:shd w:fill="FFFFFF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63640"/>
                <w:sz w:val="15"/>
              </w:rPr>
              <w:t>可作为插件替换</w:t>
            </w:r>
          </w:p>
        </w:tc>
      </w:tr>
      <w:tr>
        <w:tc>
          <w:tcPr>
            <w:tcW w:type="dxa" w:w="1531"/>
            <w:shd w:fill="EAF4FA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263640"/>
                <w:sz w:val="15"/>
              </w:rPr>
              <w:t>Session/Storage</w:t>
            </w:r>
          </w:p>
        </w:tc>
        <w:tc>
          <w:tcPr>
            <w:tcW w:type="dxa" w:w="1587"/>
            <w:shd w:fill="EAF4FA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63640"/>
                <w:sz w:val="15"/>
              </w:rPr>
              <w:t>产品管理</w:t>
            </w:r>
          </w:p>
        </w:tc>
        <w:tc>
          <w:tcPr>
            <w:tcW w:type="dxa" w:w="1417"/>
            <w:shd w:fill="EAF4FA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63640"/>
                <w:sz w:val="15"/>
              </w:rPr>
              <w:t>产品管理</w:t>
            </w:r>
          </w:p>
        </w:tc>
        <w:tc>
          <w:tcPr>
            <w:tcW w:type="dxa" w:w="1701"/>
            <w:shd w:fill="EAF4FA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63640"/>
                <w:sz w:val="15"/>
              </w:rPr>
              <w:t>产品管理</w:t>
            </w:r>
          </w:p>
        </w:tc>
        <w:tc>
          <w:tcPr>
            <w:tcW w:type="dxa" w:w="1531"/>
            <w:shd w:fill="EAF4FA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63640"/>
                <w:sz w:val="15"/>
              </w:rPr>
              <w:t>产品管理</w:t>
            </w:r>
          </w:p>
        </w:tc>
        <w:tc>
          <w:tcPr>
            <w:tcW w:type="dxa" w:w="1814"/>
            <w:shd w:fill="EAF4FA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63640"/>
                <w:sz w:val="15"/>
              </w:rPr>
              <w:t>可插件化</w:t>
            </w:r>
          </w:p>
        </w:tc>
      </w:tr>
      <w:tr>
        <w:tc>
          <w:tcPr>
            <w:tcW w:type="dxa" w:w="1531"/>
            <w:shd w:fill="FFFFFF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263640"/>
                <w:sz w:val="15"/>
              </w:rPr>
              <w:t>Sandbox/Policy</w:t>
            </w:r>
          </w:p>
        </w:tc>
        <w:tc>
          <w:tcPr>
            <w:tcW w:type="dxa" w:w="1587"/>
            <w:shd w:fill="FFFFFF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63640"/>
                <w:sz w:val="15"/>
              </w:rPr>
              <w:t>产品安全策略</w:t>
            </w:r>
          </w:p>
        </w:tc>
        <w:tc>
          <w:tcPr>
            <w:tcW w:type="dxa" w:w="1417"/>
            <w:shd w:fill="FFFFFF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63640"/>
                <w:sz w:val="15"/>
              </w:rPr>
              <w:t>可配置护栏</w:t>
            </w:r>
          </w:p>
        </w:tc>
        <w:tc>
          <w:tcPr>
            <w:tcW w:type="dxa" w:w="1701"/>
            <w:shd w:fill="FFFFFF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63640"/>
                <w:sz w:val="15"/>
              </w:rPr>
              <w:t>权限模式</w:t>
            </w:r>
          </w:p>
        </w:tc>
        <w:tc>
          <w:tcPr>
            <w:tcW w:type="dxa" w:w="1531"/>
            <w:shd w:fill="FFFFFF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63640"/>
                <w:sz w:val="15"/>
              </w:rPr>
              <w:t>沙箱与审批</w:t>
            </w:r>
          </w:p>
        </w:tc>
        <w:tc>
          <w:tcPr>
            <w:tcW w:type="dxa" w:w="1814"/>
            <w:shd w:fill="FFFFFF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63640"/>
                <w:sz w:val="15"/>
              </w:rPr>
              <w:t>可插件化组合</w:t>
            </w:r>
          </w:p>
        </w:tc>
      </w:tr>
      <w:tr>
        <w:tc>
          <w:tcPr>
            <w:tcW w:type="dxa" w:w="1531"/>
            <w:shd w:fill="EAF4FA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263640"/>
                <w:sz w:val="15"/>
              </w:rPr>
              <w:t>使用门槛</w:t>
            </w:r>
          </w:p>
        </w:tc>
        <w:tc>
          <w:tcPr>
            <w:tcW w:type="dxa" w:w="1587"/>
            <w:shd w:fill="EAF4FA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63640"/>
                <w:sz w:val="15"/>
              </w:rPr>
              <w:t>低</w:t>
            </w:r>
          </w:p>
        </w:tc>
        <w:tc>
          <w:tcPr>
            <w:tcW w:type="dxa" w:w="1417"/>
            <w:shd w:fill="EAF4FA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63640"/>
                <w:sz w:val="15"/>
              </w:rPr>
              <w:t>中</w:t>
            </w:r>
          </w:p>
        </w:tc>
        <w:tc>
          <w:tcPr>
            <w:tcW w:type="dxa" w:w="1701"/>
            <w:shd w:fill="EAF4FA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63640"/>
                <w:sz w:val="15"/>
              </w:rPr>
              <w:t>中</w:t>
            </w:r>
          </w:p>
        </w:tc>
        <w:tc>
          <w:tcPr>
            <w:tcW w:type="dxa" w:w="1531"/>
            <w:shd w:fill="EAF4FA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63640"/>
                <w:sz w:val="15"/>
              </w:rPr>
              <w:t>中</w:t>
            </w:r>
          </w:p>
        </w:tc>
        <w:tc>
          <w:tcPr>
            <w:tcW w:type="dxa" w:w="1814"/>
            <w:shd w:fill="EAF4FA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63640"/>
                <w:sz w:val="15"/>
              </w:rPr>
              <w:t>高</w:t>
            </w:r>
          </w:p>
        </w:tc>
      </w:tr>
    </w:tbl>
    <w:p>
      <w:pPr>
        <w:spacing w:after="0"/>
      </w:pPr>
    </w:p>
    <w:p>
      <w:pPr>
        <w:spacing w:after="100" w:line="283" w:lineRule="auto"/>
      </w:pPr>
      <w:r>
        <w:rPr>
          <w:rFonts w:ascii="Microsoft YaHei" w:hAnsi="Microsoft YaHei" w:eastAsia="Microsoft YaHei"/>
          <w:b w:val="0"/>
          <w:color w:val="263640"/>
          <w:sz w:val="18"/>
        </w:rPr>
        <w:t>表中的“厂商管理”表示核心运行机制由产品方维护。此类产品通常仍允许配置 MCP、Skills、规则、工具或权限，但一般不支持整体替换 Context 管理、Agent Loop 或 Session 实现。</w:t>
      </w:r>
    </w:p>
    <w:p>
      <w:pPr>
        <w:pStyle w:val="Heading2"/>
        <w:keepNext/>
        <w:spacing w:before="140" w:after="80"/>
      </w:pPr>
      <w:r>
        <w:rPr>
          <w:rFonts w:ascii="Microsoft YaHei" w:hAnsi="Microsoft YaHei" w:eastAsia="Microsoft YaHei"/>
          <w:b/>
          <w:color w:val="000000"/>
          <w:sz w:val="25"/>
        </w:rPr>
        <w:t>适合采用 DSH 高度可配置能力的情况</w:t>
      </w:r>
    </w:p>
    <w:p>
      <w:pPr>
        <w:pStyle w:val="ListBullet"/>
        <w:spacing w:after="60" w:line="264" w:lineRule="auto"/>
      </w:pPr>
      <w:r>
        <w:rPr>
          <w:rFonts w:ascii="Microsoft YaHei" w:hAnsi="Microsoft YaHei" w:eastAsia="Microsoft YaHei"/>
          <w:b w:val="0"/>
          <w:color w:val="263640"/>
          <w:sz w:val="19"/>
        </w:rPr>
        <w:t>需要把简单任务、复杂任务和代码任务路由到不同模型。</w:t>
      </w:r>
    </w:p>
    <w:p>
      <w:pPr>
        <w:pStyle w:val="ListBullet"/>
        <w:spacing w:after="60" w:line="264" w:lineRule="auto"/>
      </w:pPr>
      <w:r>
        <w:rPr>
          <w:rFonts w:ascii="Microsoft YaHei" w:hAnsi="Microsoft YaHei" w:eastAsia="Microsoft YaHei"/>
          <w:b w:val="0"/>
          <w:color w:val="263640"/>
          <w:sz w:val="19"/>
        </w:rPr>
        <w:t>需要把 Session、Memory 或审计记录存入自己的基础设施。</w:t>
      </w:r>
    </w:p>
    <w:p>
      <w:pPr>
        <w:pStyle w:val="ListBullet"/>
        <w:spacing w:after="60" w:line="264" w:lineRule="auto"/>
      </w:pPr>
      <w:r>
        <w:rPr>
          <w:rFonts w:ascii="Microsoft YaHei" w:hAnsi="Microsoft YaHei" w:eastAsia="Microsoft YaHei"/>
          <w:b w:val="0"/>
          <w:color w:val="263640"/>
          <w:sz w:val="19"/>
        </w:rPr>
        <w:t>需要按部门配置不同工具、权限、审批与 Sandbox。</w:t>
      </w:r>
    </w:p>
    <w:p>
      <w:pPr>
        <w:pStyle w:val="ListBullet"/>
        <w:spacing w:after="60" w:line="264" w:lineRule="auto"/>
      </w:pPr>
      <w:r>
        <w:rPr>
          <w:rFonts w:ascii="Microsoft YaHei" w:hAnsi="Microsoft YaHei" w:eastAsia="Microsoft YaHei"/>
          <w:b w:val="0"/>
          <w:color w:val="263640"/>
          <w:sz w:val="19"/>
        </w:rPr>
        <w:t>需要重写 Planner、Executor、Reviewer 等多阶段 Agent Loop。</w:t>
      </w:r>
    </w:p>
    <w:p>
      <w:r>
        <w:br w:type="page"/>
      </w:r>
    </w:p>
    <w:p>
      <w:pPr>
        <w:spacing w:after="0" w:line="560" w:lineRule="exact"/>
      </w:pPr>
      <w:r>
        <w:rPr>
          <w:rFonts w:ascii="Microsoft YaHei" w:hAnsi="Microsoft YaHei" w:eastAsia="Microsoft YaHei"/>
          <w:b w:val="0"/>
          <w:color w:val="FFFFFF"/>
          <w:sz w:val="16"/>
        </w:rPr>
        <w:t xml:space="preserve"> </w:t>
      </w:r>
    </w:p>
    <w:p>
      <w:pPr>
        <w:spacing w:after="20"/>
      </w:pPr>
      <w:r>
        <w:rPr>
          <w:rFonts w:ascii="Microsoft YaHei" w:hAnsi="Microsoft YaHei" w:eastAsia="Microsoft YaHei"/>
          <w:b/>
          <w:color w:val="1F6FA8"/>
          <w:sz w:val="17"/>
        </w:rPr>
        <w:t>第五部分 产品比较与选择</w:t>
      </w:r>
    </w:p>
    <w:p>
      <w:pPr>
        <w:pStyle w:val="Heading1"/>
        <w:keepNext/>
        <w:spacing w:after="140"/>
      </w:pPr>
      <w:r>
        <w:rPr>
          <w:rFonts w:ascii="Microsoft YaHei" w:hAnsi="Microsoft YaHei" w:eastAsia="Microsoft YaHei"/>
          <w:b/>
          <w:color w:val="000000"/>
          <w:sz w:val="38"/>
        </w:rPr>
        <w:t>按使用场景选择产品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45"/>
        <w:gridCol w:w="3345"/>
        <w:gridCol w:w="3345"/>
      </w:tblGrid>
      <w:tr>
        <w:trPr>
          <w:tblHeader w:val="true"/>
        </w:trPr>
        <w:tc>
          <w:tcPr>
            <w:tcW w:type="dxa" w:w="3685"/>
            <w:shd w:fill="183B56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使用场景</w:t>
            </w:r>
          </w:p>
        </w:tc>
        <w:tc>
          <w:tcPr>
            <w:tcW w:type="dxa" w:w="2268"/>
            <w:shd w:fill="183B56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建议产品</w:t>
            </w:r>
          </w:p>
        </w:tc>
        <w:tc>
          <w:tcPr>
            <w:tcW w:type="dxa" w:w="3798"/>
            <w:shd w:fill="183B56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选择理由</w:t>
            </w:r>
          </w:p>
        </w:tc>
      </w:tr>
      <w:tr>
        <w:tc>
          <w:tcPr>
            <w:tcW w:type="dxa" w:w="3685"/>
            <w:shd w:fill="FFFFFF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263640"/>
                <w:sz w:val="16"/>
              </w:rPr>
              <w:t>市场人员把 20 个表格汇总为复盘报告和 PPT</w:t>
            </w:r>
          </w:p>
        </w:tc>
        <w:tc>
          <w:tcPr>
            <w:tcW w:type="dxa" w:w="2268"/>
            <w:shd w:fill="FFFFFF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63640"/>
                <w:sz w:val="16"/>
              </w:rPr>
              <w:t>WorkBuddy</w:t>
            </w:r>
          </w:p>
        </w:tc>
        <w:tc>
          <w:tcPr>
            <w:tcW w:type="dxa" w:w="3798"/>
            <w:shd w:fill="FFFFFF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263640"/>
                <w:sz w:val="16"/>
              </w:rPr>
              <w:t>关注最终办公成果，不需要控制底层运行时</w:t>
            </w:r>
          </w:p>
        </w:tc>
      </w:tr>
      <w:tr>
        <w:tc>
          <w:tcPr>
            <w:tcW w:type="dxa" w:w="3685"/>
            <w:shd w:fill="EAF4FA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263640"/>
                <w:sz w:val="16"/>
              </w:rPr>
              <w:t>开发者在现有代码库中增加权限模块并执行测试</w:t>
            </w:r>
          </w:p>
        </w:tc>
        <w:tc>
          <w:tcPr>
            <w:tcW w:type="dxa" w:w="2268"/>
            <w:shd w:fill="EAF4FA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263640"/>
                <w:sz w:val="16"/>
              </w:rPr>
              <w:t>Codex / Cursor / Claude Code</w:t>
            </w:r>
          </w:p>
        </w:tc>
        <w:tc>
          <w:tcPr>
            <w:tcW w:type="dxa" w:w="3798"/>
            <w:shd w:fill="EAF4FA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263640"/>
                <w:sz w:val="16"/>
              </w:rPr>
              <w:t>现成 Coding Harness 已包含代码搜索、编辑、终端与审阅能力</w:t>
            </w:r>
          </w:p>
        </w:tc>
      </w:tr>
      <w:tr>
        <w:tc>
          <w:tcPr>
            <w:tcW w:type="dxa" w:w="3685"/>
            <w:shd w:fill="FFFFFF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263640"/>
                <w:sz w:val="16"/>
              </w:rPr>
              <w:t>团队需要在 IDE 中审阅差异并进行多模型协作</w:t>
            </w:r>
          </w:p>
        </w:tc>
        <w:tc>
          <w:tcPr>
            <w:tcW w:type="dxa" w:w="2268"/>
            <w:shd w:fill="FFFFFF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63640"/>
                <w:sz w:val="16"/>
              </w:rPr>
              <w:t>Cursor</w:t>
            </w:r>
          </w:p>
        </w:tc>
        <w:tc>
          <w:tcPr>
            <w:tcW w:type="dxa" w:w="3798"/>
            <w:shd w:fill="FFFFFF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263640"/>
                <w:sz w:val="16"/>
              </w:rPr>
              <w:t>编辑器集成与可视化审阅能力较完整</w:t>
            </w:r>
          </w:p>
        </w:tc>
      </w:tr>
      <w:tr>
        <w:tc>
          <w:tcPr>
            <w:tcW w:type="dxa" w:w="3685"/>
            <w:shd w:fill="EAF4FA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263640"/>
                <w:sz w:val="16"/>
              </w:rPr>
              <w:t>团队以终端为主要工作环境，并围绕 Claude 建立脚本和 MCP</w:t>
            </w:r>
          </w:p>
        </w:tc>
        <w:tc>
          <w:tcPr>
            <w:tcW w:type="dxa" w:w="2268"/>
            <w:shd w:fill="EAF4FA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63640"/>
                <w:sz w:val="16"/>
              </w:rPr>
              <w:t>Claude Code</w:t>
            </w:r>
          </w:p>
        </w:tc>
        <w:tc>
          <w:tcPr>
            <w:tcW w:type="dxa" w:w="3798"/>
            <w:shd w:fill="EAF4FA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263640"/>
                <w:sz w:val="16"/>
              </w:rPr>
              <w:t>命令行工作流、权限控制与 MCP 集成较完整</w:t>
            </w:r>
          </w:p>
        </w:tc>
      </w:tr>
      <w:tr>
        <w:tc>
          <w:tcPr>
            <w:tcW w:type="dxa" w:w="3685"/>
            <w:shd w:fill="FFFFFF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263640"/>
                <w:sz w:val="16"/>
              </w:rPr>
              <w:t>工程团队要并行处理功能、重构、迁移和后台任务</w:t>
            </w:r>
          </w:p>
        </w:tc>
        <w:tc>
          <w:tcPr>
            <w:tcW w:type="dxa" w:w="2268"/>
            <w:shd w:fill="FFFFFF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63640"/>
                <w:sz w:val="16"/>
              </w:rPr>
              <w:t>Codex</w:t>
            </w:r>
          </w:p>
        </w:tc>
        <w:tc>
          <w:tcPr>
            <w:tcW w:type="dxa" w:w="3798"/>
            <w:shd w:fill="FFFFFF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63640"/>
                <w:sz w:val="16"/>
              </w:rPr>
              <w:t>面向端到端工程工作与多任务协作</w:t>
            </w:r>
          </w:p>
        </w:tc>
      </w:tr>
      <w:tr>
        <w:tc>
          <w:tcPr>
            <w:tcW w:type="dxa" w:w="3685"/>
            <w:shd w:fill="EAF4FA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263640"/>
                <w:sz w:val="16"/>
              </w:rPr>
              <w:t>企业要做财务、HR、运维共用的私有 Agent 平台</w:t>
            </w:r>
          </w:p>
        </w:tc>
        <w:tc>
          <w:tcPr>
            <w:tcW w:type="dxa" w:w="2268"/>
            <w:shd w:fill="EAF4FA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263640"/>
                <w:sz w:val="16"/>
              </w:rPr>
              <w:t>DeepSeek Harness</w:t>
            </w:r>
          </w:p>
        </w:tc>
        <w:tc>
          <w:tcPr>
            <w:tcW w:type="dxa" w:w="3798"/>
            <w:shd w:fill="EAF4FA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263640"/>
                <w:sz w:val="16"/>
              </w:rPr>
              <w:t>模型、权限、存储、Loop、Sandbox 与 UI 都需深度定制</w:t>
            </w:r>
          </w:p>
        </w:tc>
      </w:tr>
      <w:tr>
        <w:tc>
          <w:tcPr>
            <w:tcW w:type="dxa" w:w="3685"/>
            <w:shd w:fill="FFFFFF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263640"/>
                <w:sz w:val="16"/>
              </w:rPr>
              <w:t>需要在本机便捷启动和管理 DSH</w:t>
            </w:r>
          </w:p>
        </w:tc>
        <w:tc>
          <w:tcPr>
            <w:tcW w:type="dxa" w:w="2268"/>
            <w:shd w:fill="FFFFFF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63640"/>
                <w:sz w:val="16"/>
              </w:rPr>
              <w:t>Harness Desktop</w:t>
            </w:r>
          </w:p>
        </w:tc>
        <w:tc>
          <w:tcPr>
            <w:tcW w:type="dxa" w:w="3798"/>
            <w:shd w:fill="FFFFFF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263640"/>
                <w:sz w:val="16"/>
              </w:rPr>
              <w:t>集中提供安装、服务、日志、版本与托盘管理</w:t>
            </w:r>
          </w:p>
        </w:tc>
      </w:tr>
    </w:tbl>
    <w:p>
      <w:pPr>
        <w:spacing w:after="0"/>
      </w:pPr>
    </w:p>
    <w:p>
      <w:pPr>
        <w:pStyle w:val="Heading2"/>
        <w:keepNext/>
        <w:spacing w:before="140" w:after="80"/>
      </w:pPr>
      <w:r>
        <w:rPr>
          <w:rFonts w:ascii="Microsoft YaHei" w:hAnsi="Microsoft YaHei" w:eastAsia="Microsoft YaHei"/>
          <w:b/>
          <w:color w:val="000000"/>
          <w:sz w:val="25"/>
        </w:rPr>
        <w:t>选型注意事项</w:t>
      </w:r>
    </w:p>
    <w:p>
      <w:pPr>
        <w:spacing w:after="100" w:line="283" w:lineRule="auto"/>
      </w:pPr>
      <w:r>
        <w:rPr>
          <w:rFonts w:ascii="Microsoft YaHei" w:hAnsi="Microsoft YaHei" w:eastAsia="Microsoft YaHei"/>
          <w:b w:val="0"/>
          <w:color w:val="263640"/>
          <w:sz w:val="20"/>
        </w:rPr>
        <w:t>较高的可配置程度同时带来更高的建设与维护成本。成品 Agent 适合直接完成既定任务；DSH 适合将运行机制本身作为产品能力进行设计和控制的场景。</w:t>
      </w:r>
    </w:p>
    <w:p>
      <w:r>
        <w:br w:type="page"/>
      </w:r>
    </w:p>
    <w:p>
      <w:pPr>
        <w:spacing w:after="0" w:line="560" w:lineRule="exact"/>
      </w:pPr>
      <w:r>
        <w:rPr>
          <w:rFonts w:ascii="Microsoft YaHei" w:hAnsi="Microsoft YaHei" w:eastAsia="Microsoft YaHei"/>
          <w:b w:val="0"/>
          <w:color w:val="FFFFFF"/>
          <w:sz w:val="16"/>
        </w:rPr>
        <w:t xml:space="preserve"> </w:t>
      </w:r>
    </w:p>
    <w:p>
      <w:pPr>
        <w:spacing w:after="20"/>
      </w:pPr>
      <w:r>
        <w:rPr>
          <w:rFonts w:ascii="Microsoft YaHei" w:hAnsi="Microsoft YaHei" w:eastAsia="Microsoft YaHei"/>
          <w:b/>
          <w:color w:val="1F6FA8"/>
          <w:sz w:val="17"/>
        </w:rPr>
        <w:t>第六部分 操作示例与安全要求</w:t>
      </w:r>
    </w:p>
    <w:p>
      <w:pPr>
        <w:pStyle w:val="Heading1"/>
        <w:keepNext/>
        <w:spacing w:before="0" w:after="140"/>
      </w:pPr>
      <w:r>
        <w:rPr>
          <w:rFonts w:ascii="Microsoft YaHei" w:hAnsi="Microsoft YaHei" w:eastAsia="Microsoft YaHei"/>
          <w:b/>
          <w:color w:val="000000"/>
          <w:sz w:val="38"/>
        </w:rPr>
        <w:t>Harness Desktop 插件安装与使用</w:t>
      </w:r>
    </w:p>
    <w:p>
      <w:pPr>
        <w:keepNext w:val="0"/>
        <w:spacing w:before="0" w:after="80" w:line="269" w:lineRule="auto"/>
      </w:pPr>
      <w:r>
        <w:rPr>
          <w:rFonts w:ascii="Microsoft YaHei" w:hAnsi="Microsoft YaHei" w:eastAsia="Microsoft YaHei"/>
          <w:color w:val="263640"/>
          <w:sz w:val="18"/>
        </w:rPr>
        <w:t>顶栏的“安装插件”是 Harness Desktop 提供的图形化安装入口。它把所选来源转换为 dsh plugin add 可接受的包说明，并安装到弹窗中显示的当前 Profile，默认为 web。该入口只负责新增插件；列表、更新与移除仍通过 Plugin Hub 或控制台命令完成。</w:t>
      </w:r>
    </w:p>
    <w:p>
      <w:pPr>
        <w:pStyle w:val="Heading2"/>
        <w:keepNext/>
        <w:spacing w:before="140" w:after="80"/>
      </w:pPr>
      <w:r>
        <w:rPr>
          <w:rFonts w:ascii="Microsoft YaHei" w:hAnsi="Microsoft YaHei" w:eastAsia="Microsoft YaHei"/>
          <w:b/>
          <w:color w:val="000000"/>
          <w:sz w:val="25"/>
        </w:rPr>
        <w:t>支持的插件来源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45"/>
        <w:gridCol w:w="3345"/>
        <w:gridCol w:w="3345"/>
      </w:tblGrid>
      <w:tr>
        <w:trPr>
          <w:tblHeader w:val="true"/>
          <w:cantSplit/>
        </w:trPr>
        <w:tc>
          <w:tcPr>
            <w:tcW w:type="dxa" w:w="151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183B56"/>
          </w:tcPr>
          <w:p>
            <w:pPr>
              <w:spacing w:before="0" w:after="0" w:line="259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来源</w:t>
            </w:r>
          </w:p>
        </w:tc>
        <w:tc>
          <w:tcPr>
            <w:tcW w:type="dxa" w:w="237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183B56"/>
          </w:tcPr>
          <w:p>
            <w:pPr>
              <w:spacing w:before="0" w:after="0" w:line="259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适用情况</w:t>
            </w:r>
          </w:p>
        </w:tc>
        <w:tc>
          <w:tcPr>
            <w:tcW w:type="dxa" w:w="586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183B56"/>
          </w:tcPr>
          <w:p>
            <w:pPr>
              <w:spacing w:before="0" w:after="0" w:line="259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输入与限制</w:t>
            </w:r>
          </w:p>
        </w:tc>
      </w:tr>
      <w:tr>
        <w:trPr>
          <w:cantSplit/>
        </w:trPr>
        <w:tc>
          <w:tcPr>
            <w:tcW w:type="dxa" w:w="151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before="0" w:after="0" w:line="259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63640"/>
                <w:sz w:val="16"/>
              </w:rPr>
              <w:t>npm 包</w:t>
            </w:r>
          </w:p>
        </w:tc>
        <w:tc>
          <w:tcPr>
            <w:tcW w:type="dxa" w:w="237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263640"/>
                <w:sz w:val="16"/>
              </w:rPr>
              <w:t>安装已发布版本</w:t>
            </w:r>
          </w:p>
        </w:tc>
        <w:tc>
          <w:tcPr>
            <w:tcW w:type="dxa" w:w="586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263640"/>
                <w:sz w:val="16"/>
              </w:rPr>
              <w:t>输入包名，可带版本或 dist-tag，例如 my-plugin@1.2.3。不接受本地路径或 Git 地址。</w:t>
            </w:r>
          </w:p>
        </w:tc>
      </w:tr>
      <w:tr>
        <w:trPr>
          <w:cantSplit/>
        </w:trPr>
        <w:tc>
          <w:tcPr>
            <w:tcW w:type="dxa" w:w="151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3F7FA"/>
          </w:tcPr>
          <w:p>
            <w:pPr>
              <w:spacing w:before="0" w:after="0" w:line="259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63640"/>
                <w:sz w:val="16"/>
              </w:rPr>
              <w:t>本地目录</w:t>
            </w:r>
          </w:p>
        </w:tc>
        <w:tc>
          <w:tcPr>
            <w:tcW w:type="dxa" w:w="237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3F7FA"/>
          </w:tcPr>
          <w:p>
            <w:pPr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263640"/>
                <w:sz w:val="16"/>
              </w:rPr>
              <w:t>开发联调与内部使用</w:t>
            </w:r>
          </w:p>
        </w:tc>
        <w:tc>
          <w:tcPr>
            <w:tcW w:type="dxa" w:w="586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3F7FA"/>
          </w:tcPr>
          <w:p>
            <w:pPr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263640"/>
                <w:sz w:val="16"/>
              </w:rPr>
              <w:t>目录内必须有 package.json，且包含 name 和 dsh 字段。安装后使用 link: 指向原目录，不得随意移动或删除。</w:t>
            </w:r>
          </w:p>
        </w:tc>
      </w:tr>
      <w:tr>
        <w:trPr>
          <w:cantSplit/>
        </w:trPr>
        <w:tc>
          <w:tcPr>
            <w:tcW w:type="dxa" w:w="151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before="0" w:after="0" w:line="259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63640"/>
                <w:sz w:val="16"/>
              </w:rPr>
              <w:t>压缩包</w:t>
            </w:r>
          </w:p>
        </w:tc>
        <w:tc>
          <w:tcPr>
            <w:tcW w:type="dxa" w:w="237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263640"/>
                <w:sz w:val="16"/>
              </w:rPr>
              <w:t>离线交付或固定构建</w:t>
            </w:r>
          </w:p>
        </w:tc>
        <w:tc>
          <w:tcPr>
            <w:tcW w:type="dxa" w:w="586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263640"/>
                <w:sz w:val="16"/>
              </w:rPr>
              <w:t>支持 .tgz 和 .tar.gz，可点击或拖入上传，单个文件不超过 200 MB。安装成功后文件保留在启动器数据目录中。</w:t>
            </w:r>
          </w:p>
        </w:tc>
      </w:tr>
      <w:tr>
        <w:trPr>
          <w:cantSplit/>
        </w:trPr>
        <w:tc>
          <w:tcPr>
            <w:tcW w:type="dxa" w:w="151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3F7FA"/>
          </w:tcPr>
          <w:p>
            <w:pPr>
              <w:spacing w:before="0" w:after="0" w:line="259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63640"/>
                <w:sz w:val="16"/>
              </w:rPr>
              <w:t>Git 仓库</w:t>
            </w:r>
          </w:p>
        </w:tc>
        <w:tc>
          <w:tcPr>
            <w:tcW w:type="dxa" w:w="237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3F7FA"/>
          </w:tcPr>
          <w:p>
            <w:pPr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263640"/>
                <w:sz w:val="16"/>
              </w:rPr>
              <w:t>从代码仓库安装</w:t>
            </w:r>
          </w:p>
        </w:tc>
        <w:tc>
          <w:tcPr>
            <w:tcW w:type="dxa" w:w="586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3F7FA"/>
          </w:tcPr>
          <w:p>
            <w:pPr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263640"/>
                <w:sz w:val="16"/>
              </w:rPr>
              <w:t>支持 HTTPS、SSH 及 github:org/repo 等 pnpm 可识别的地址。本机必须已安装 Git，私有仓库还需要有效凭据。</w:t>
            </w:r>
          </w:p>
        </w:tc>
      </w:tr>
    </w:tbl>
    <w:p>
      <w:pPr>
        <w:keepNext w:val="0"/>
        <w:spacing w:before="0" w:after="20" w:line="269" w:lineRule="auto"/>
      </w:pPr>
    </w:p>
    <w:p>
      <w:pPr>
        <w:pStyle w:val="Heading2"/>
        <w:keepNext/>
        <w:spacing w:before="140" w:after="80"/>
      </w:pPr>
      <w:r>
        <w:rPr>
          <w:rFonts w:ascii="Microsoft YaHei" w:hAnsi="Microsoft YaHei" w:eastAsia="Microsoft YaHei"/>
          <w:b/>
          <w:color w:val="000000"/>
          <w:sz w:val="25"/>
        </w:rPr>
        <w:t>操作步骤</w:t>
      </w:r>
    </w:p>
    <w:p>
      <w:pPr>
        <w:spacing w:after="60" w:line="254" w:lineRule="auto"/>
        <w:ind w:left="351" w:hanging="351"/>
      </w:pPr>
      <w:r>
        <w:rPr>
          <w:rFonts w:ascii="Microsoft YaHei" w:hAnsi="Microsoft YaHei" w:eastAsia="Microsoft YaHei"/>
          <w:color w:val="263640"/>
          <w:sz w:val="17"/>
        </w:rPr>
        <w:t>1.  启动 Harness Desktop，等待 dsh 检测完成。如需安装到非 web Profile，先在设置中切换 Profile，再重新打开安装弹窗确认名称。</w:t>
      </w:r>
    </w:p>
    <w:p>
      <w:pPr>
        <w:spacing w:after="60" w:line="254" w:lineRule="auto"/>
        <w:ind w:left="351" w:hanging="351"/>
      </w:pPr>
      <w:r>
        <w:rPr>
          <w:rFonts w:ascii="Microsoft YaHei" w:hAnsi="Microsoft YaHei" w:eastAsia="Microsoft YaHei"/>
          <w:color w:val="263640"/>
          <w:sz w:val="17"/>
        </w:rPr>
        <w:t>2.  核对插件来源、版本、维护方和所需权限，再点击顶栏“安装插件”。Plugin Hub 自动检查开关不影响此按钮。</w:t>
      </w:r>
    </w:p>
    <w:p>
      <w:pPr>
        <w:spacing w:after="60" w:line="254" w:lineRule="auto"/>
        <w:ind w:left="351" w:hanging="351"/>
      </w:pPr>
      <w:r>
        <w:rPr>
          <w:rFonts w:ascii="Microsoft YaHei" w:hAnsi="Microsoft YaHei" w:eastAsia="Microsoft YaHei"/>
          <w:color w:val="263640"/>
          <w:sz w:val="17"/>
        </w:rPr>
        <w:t>3.  选择 npm 包、本地目录、压缩包或 Git 仓库，填写包名或仓库地址，或浏览本地目录、上传压缩包。</w:t>
      </w:r>
    </w:p>
    <w:p>
      <w:pPr>
        <w:spacing w:after="60" w:line="254" w:lineRule="auto"/>
        <w:ind w:left="351" w:hanging="351"/>
      </w:pPr>
      <w:r>
        <w:rPr>
          <w:rFonts w:ascii="Microsoft YaHei" w:hAnsi="Microsoft YaHei" w:eastAsia="Microsoft YaHei"/>
          <w:color w:val="263640"/>
          <w:sz w:val="17"/>
        </w:rPr>
        <w:t>4.  点击“安装”。弹窗会锁定来源字段并显示最新安装日志。需要中止时点击“取消”，程序会结束当前子进程。</w:t>
      </w:r>
    </w:p>
    <w:p>
      <w:pPr>
        <w:spacing w:after="60" w:line="254" w:lineRule="auto"/>
        <w:ind w:left="351" w:hanging="351"/>
      </w:pPr>
      <w:r>
        <w:rPr>
          <w:rFonts w:ascii="Microsoft YaHei" w:hAnsi="Microsoft YaHei" w:eastAsia="Microsoft YaHei"/>
          <w:color w:val="263640"/>
          <w:sz w:val="17"/>
        </w:rPr>
        <w:t>5.  安装成功后点击提示中的“立即重启”，或使用顶部“重新启动”。运行中的 Profile 不会在不重启的情况下加载新 Bundle。</w:t>
      </w:r>
    </w:p>
    <w:p>
      <w:pPr>
        <w:spacing w:after="60" w:line="254" w:lineRule="auto"/>
        <w:ind w:left="351" w:hanging="351"/>
      </w:pPr>
      <w:r>
        <w:rPr>
          <w:rFonts w:ascii="Microsoft YaHei" w:hAnsi="Microsoft YaHei" w:eastAsia="Microsoft YaHei"/>
          <w:color w:val="263640"/>
          <w:sz w:val="17"/>
        </w:rPr>
        <w:t>6.  重启后在 DSH Web UI 中验证新功能，并从控制台确认启动期间没有模块解析、版本兼容或配置错误。</w:t>
      </w:r>
    </w:p>
    <w:p>
      <w:pPr>
        <w:pStyle w:val="Heading2"/>
        <w:keepNext/>
        <w:spacing w:before="140" w:after="80"/>
      </w:pPr>
      <w:r>
        <w:rPr>
          <w:rFonts w:ascii="Microsoft YaHei" w:hAnsi="Microsoft YaHei" w:eastAsia="Microsoft YaHei"/>
          <w:b/>
          <w:color w:val="000000"/>
          <w:sz w:val="25"/>
        </w:rPr>
        <w:t>安装结果与排障</w:t>
      </w:r>
    </w:p>
    <w:p>
      <w:pPr>
        <w:pStyle w:val="ListBullet"/>
        <w:spacing w:before="0" w:after="40" w:line="254" w:lineRule="auto"/>
      </w:pPr>
      <w:r>
        <w:rPr>
          <w:rFonts w:ascii="Microsoft YaHei" w:hAnsi="Microsoft YaHei" w:eastAsia="Microsoft YaHei"/>
          <w:color w:val="263640"/>
          <w:sz w:val="17"/>
        </w:rPr>
        <w:t>未找到 pnpm 时，启动器会在自身安装根目录补装 pnpm 11 后重试；Git 缺失、包名格式错误、本地目录不合格时会直接显示原因。</w:t>
      </w:r>
    </w:p>
    <w:p>
      <w:pPr>
        <w:pStyle w:val="ListBullet"/>
        <w:spacing w:before="0" w:after="40" w:line="254" w:lineRule="auto"/>
      </w:pPr>
      <w:r>
        <w:rPr>
          <w:rFonts w:ascii="Microsoft YaHei" w:hAnsi="Microsoft YaHei" w:eastAsia="Microsoft YaHei"/>
          <w:color w:val="263640"/>
          <w:sz w:val="17"/>
        </w:rPr>
        <w:t>安装或版本更新正在运行，或控制台已有命令执行时，新安装会被拒绝。先等待当前任务完成或停止控制台命令。</w:t>
      </w:r>
    </w:p>
    <w:p>
      <w:pPr>
        <w:pStyle w:val="ListBullet"/>
        <w:spacing w:before="0" w:after="40" w:line="254" w:lineRule="auto"/>
      </w:pPr>
      <w:r>
        <w:rPr>
          <w:rFonts w:ascii="Microsoft YaHei" w:hAnsi="Microsoft YaHei" w:eastAsia="Microsoft YaHei"/>
          <w:color w:val="263640"/>
          <w:sz w:val="17"/>
        </w:rPr>
        <w:t>失败时切换到控制台的“系统安装”或“仅错误”日志，核对目标 Profile、镜像源、凭据、包构建与 DSH 版本。不要在原因未明时连续重试。</w:t>
      </w:r>
    </w:p>
    <w:p>
      <w:pPr>
        <w:pageBreakBefore/>
        <w:spacing w:before="0" w:after="20"/>
      </w:pPr>
      <w:r>
        <w:rPr>
          <w:rFonts w:ascii="Microsoft YaHei" w:hAnsi="Microsoft YaHei" w:eastAsia="Microsoft YaHei"/>
          <w:b/>
          <w:color w:val="263640"/>
          <w:sz w:val="17"/>
        </w:rPr>
        <w:t>第六部分 操作示例与安全要求</w:t>
      </w:r>
    </w:p>
    <w:p>
      <w:pPr>
        <w:pStyle w:val="Heading1"/>
        <w:keepNext/>
        <w:spacing w:before="0" w:after="140"/>
      </w:pPr>
      <w:r>
        <w:rPr>
          <w:rFonts w:ascii="Microsoft YaHei" w:hAnsi="Microsoft YaHei" w:eastAsia="Microsoft YaHei"/>
          <w:b/>
          <w:color w:val="000000"/>
          <w:sz w:val="38"/>
        </w:rPr>
        <w:t>插件开发要求与注意事项</w:t>
      </w:r>
    </w:p>
    <w:p>
      <w:pPr>
        <w:keepNext w:val="0"/>
        <w:spacing w:before="0" w:after="80" w:line="269" w:lineRule="auto"/>
      </w:pPr>
      <w:r>
        <w:rPr>
          <w:rFonts w:ascii="Microsoft YaHei" w:hAnsi="Microsoft YaHei" w:eastAsia="Microsoft YaHei"/>
          <w:color w:val="263640"/>
          <w:sz w:val="18"/>
        </w:rPr>
        <w:t>Harness Desktop 不定义新的插件格式。可被安装并随 Profile 自动加载的包，仍必须遵循 DSH Bundle 与 Cordis 插件规则。桌面端的本地目录校验只能确认 package.json 存在 name 和 dsh 字段，不能代替启动时的模块、配置与服务依赖校验。</w:t>
      </w:r>
    </w:p>
    <w:p>
      <w:pPr>
        <w:pStyle w:val="Heading2"/>
        <w:keepNext/>
        <w:spacing w:before="140" w:after="80"/>
      </w:pPr>
      <w:r>
        <w:rPr>
          <w:rFonts w:ascii="Microsoft YaHei" w:hAnsi="Microsoft YaHei" w:eastAsia="Microsoft YaHei"/>
          <w:b/>
          <w:color w:val="000000"/>
          <w:sz w:val="25"/>
        </w:rPr>
        <w:t>最小可安装包结构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18"/>
        <w:gridCol w:w="5018"/>
      </w:tblGrid>
      <w:tr>
        <w:trPr>
          <w:tblHeader w:val="true"/>
          <w:cantSplit/>
        </w:trPr>
        <w:tc>
          <w:tcPr>
            <w:tcW w:type="dxa" w:w="208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183B56"/>
          </w:tcPr>
          <w:p>
            <w:pPr>
              <w:spacing w:before="0" w:after="0" w:line="259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文件或声明</w:t>
            </w:r>
          </w:p>
        </w:tc>
        <w:tc>
          <w:tcPr>
            <w:tcW w:type="dxa" w:w="766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183B56"/>
          </w:tcPr>
          <w:p>
            <w:pPr>
              <w:spacing w:before="0" w:after="0" w:line="259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必要内容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before="0" w:after="0" w:line="259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63640"/>
                <w:sz w:val="16"/>
              </w:rPr>
              <w:t>package.json</w:t>
            </w:r>
          </w:p>
        </w:tc>
        <w:tc>
          <w:tcPr>
            <w:tcW w:type="dxa" w:w="766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263640"/>
                <w:sz w:val="16"/>
              </w:rPr>
              <w:t>至少声明 name、version、模块入口与发布文件。用 “dsh”: {“bundle”: {“patch”: “./cordis.patch.yml”}} 声明 Bundle；只有一个空的 dsh 字段不会自动激活配置层。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3F7FA"/>
          </w:tcPr>
          <w:p>
            <w:pPr>
              <w:spacing w:before="0" w:after="0" w:line="259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63640"/>
                <w:sz w:val="16"/>
              </w:rPr>
              <w:t>插件入口</w:t>
            </w:r>
          </w:p>
        </w:tc>
        <w:tc>
          <w:tcPr>
            <w:tcW w:type="dxa" w:w="766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3F7FA"/>
          </w:tcPr>
          <w:p>
            <w:pPr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263640"/>
                <w:sz w:val="16"/>
              </w:rPr>
              <w:t>通常为 ESM 模块，导出 apply(ctx)；name 可用于诊断显示。需要 tools、llm 等服务时，通过 inject 明确声明。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before="0" w:after="0" w:line="259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63640"/>
                <w:sz w:val="16"/>
              </w:rPr>
              <w:t>cordis.patch.yml</w:t>
            </w:r>
          </w:p>
        </w:tc>
        <w:tc>
          <w:tcPr>
            <w:tcW w:type="dxa" w:w="766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263640"/>
                <w:sz w:val="16"/>
              </w:rPr>
              <w:t>使用补丁数组插入或覆盖插件行，并以安装后可解析的包名引用入口。每个行 id 应稳定且便于用户覆盖。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3F7FA"/>
          </w:tcPr>
          <w:p>
            <w:pPr>
              <w:spacing w:before="0" w:after="0" w:line="259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63640"/>
                <w:sz w:val="16"/>
              </w:rPr>
              <w:t>依赖声明</w:t>
            </w:r>
          </w:p>
        </w:tc>
        <w:tc>
          <w:tcPr>
            <w:tcW w:type="dxa" w:w="766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3F7FA"/>
          </w:tcPr>
          <w:p>
            <w:pPr>
              <w:spacing w:before="0" w:after="0" w:line="259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263640"/>
                <w:sz w:val="16"/>
              </w:rPr>
              <w:t>需与宿主共享实例的 DSH 包应同时放在 peerDependencies 和 devDependencies；独立的第三方运行时依赖放在 dependencies。</w:t>
            </w:r>
          </w:p>
        </w:tc>
      </w:tr>
    </w:tbl>
    <w:p>
      <w:pPr>
        <w:keepNext w:val="0"/>
        <w:spacing w:before="0" w:after="20" w:line="269" w:lineRule="auto"/>
      </w:pPr>
    </w:p>
    <w:p>
      <w:pPr>
        <w:pStyle w:val="Heading2"/>
        <w:keepNext/>
        <w:spacing w:before="140" w:after="80"/>
      </w:pPr>
      <w:r>
        <w:rPr>
          <w:rFonts w:ascii="Microsoft YaHei" w:hAnsi="Microsoft YaHei" w:eastAsia="Microsoft YaHei"/>
          <w:b/>
          <w:color w:val="000000"/>
          <w:sz w:val="25"/>
        </w:rPr>
        <w:t>开发时必须处理的事项</w:t>
      </w:r>
    </w:p>
    <w:p>
      <w:pPr>
        <w:pStyle w:val="ListBullet"/>
        <w:spacing w:before="0" w:after="44" w:line="254" w:lineRule="auto"/>
      </w:pPr>
      <w:r>
        <w:rPr>
          <w:rFonts w:ascii="Microsoft YaHei" w:hAnsi="Microsoft YaHei" w:eastAsia="Microsoft YaHei"/>
          <w:color w:val="263640"/>
          <w:sz w:val="17"/>
        </w:rPr>
        <w:t>Cordis 会并发启动各插件行。不要依赖 YAML 中的排列顺序；通过 inject 表达服务依赖，使框架在依赖就绪后再调用 apply。</w:t>
      </w:r>
    </w:p>
    <w:p>
      <w:pPr>
        <w:pStyle w:val="ListBullet"/>
        <w:spacing w:before="0" w:after="44" w:line="254" w:lineRule="auto"/>
      </w:pPr>
      <w:r>
        <w:rPr>
          <w:rFonts w:ascii="Microsoft YaHei" w:hAnsi="Microsoft YaHei" w:eastAsia="Microsoft YaHei"/>
          <w:color w:val="263640"/>
          <w:sz w:val="17"/>
        </w:rPr>
        <w:t>将工具、事件、服务等注册绑定到 ctx。网络连接、定时器或其他外部资源应通过 ctx.effect 返回清理函数，确保热重载、停服或移除插件时释放资源。</w:t>
      </w:r>
    </w:p>
    <w:p>
      <w:pPr>
        <w:pStyle w:val="ListBullet"/>
        <w:spacing w:before="0" w:after="44" w:line="254" w:lineRule="auto"/>
      </w:pPr>
      <w:r>
        <w:rPr>
          <w:rFonts w:ascii="Microsoft YaHei" w:hAnsi="Microsoft YaHei" w:eastAsia="Microsoft YaHei"/>
          <w:color w:val="263640"/>
          <w:sz w:val="17"/>
        </w:rPr>
        <w:t>在 files 和 exports 中包含实际运行所需的 JavaScript、类型声明、补丁文件及前端产物。不要依赖发布包外的源码路径或未生成的构建目录。</w:t>
      </w:r>
    </w:p>
    <w:p>
      <w:pPr>
        <w:pStyle w:val="ListBullet"/>
        <w:spacing w:before="0" w:after="44" w:line="254" w:lineRule="auto"/>
      </w:pPr>
      <w:r>
        <w:rPr>
          <w:rFonts w:ascii="Microsoft YaHei" w:hAnsi="Microsoft YaHei" w:eastAsia="Microsoft YaHei"/>
          <w:color w:val="263640"/>
          <w:sz w:val="17"/>
        </w:rPr>
        <w:t>插件包应声明并测试可接受的 DSH 和 Cordis 版本范围。DSH 处于开发预览阶段，升级后的服务接口、配置行或前端扩展点可能变化。</w:t>
      </w:r>
    </w:p>
    <w:p>
      <w:pPr>
        <w:pStyle w:val="ListBullet"/>
        <w:spacing w:before="0" w:after="44" w:line="254" w:lineRule="auto"/>
      </w:pPr>
      <w:r>
        <w:rPr>
          <w:rFonts w:ascii="Microsoft YaHei" w:hAnsi="Microsoft YaHei" w:eastAsia="Microsoft YaHei"/>
          <w:color w:val="263640"/>
          <w:sz w:val="17"/>
        </w:rPr>
        <w:t>配置默认值应安全且可覆盖。后加载的 Profile 和 home 级补丁会覆盖 Bundle 中同 id 的整个 config，不会对其中字段深度合并。</w:t>
      </w:r>
    </w:p>
    <w:p>
      <w:pPr>
        <w:pStyle w:val="Heading2"/>
        <w:keepNext/>
        <w:spacing w:before="140" w:after="80"/>
      </w:pPr>
      <w:r>
        <w:rPr>
          <w:rFonts w:ascii="Microsoft YaHei" w:hAnsi="Microsoft YaHei" w:eastAsia="Microsoft YaHei"/>
          <w:b/>
          <w:color w:val="000000"/>
          <w:sz w:val="25"/>
        </w:rPr>
        <w:t>联调 打包与发布前检查</w:t>
      </w:r>
    </w:p>
    <w:p>
      <w:pPr>
        <w:spacing w:after="60" w:line="254" w:lineRule="auto"/>
        <w:ind w:left="351" w:hanging="351"/>
      </w:pPr>
      <w:r>
        <w:rPr>
          <w:rFonts w:ascii="Microsoft YaHei" w:hAnsi="Microsoft YaHei" w:eastAsia="Microsoft YaHei"/>
          <w:color w:val="263640"/>
          <w:sz w:val="17"/>
        </w:rPr>
        <w:t>1.  联调时选择“本地目录”。该方式使用 link: 指向原目录，修改代码并重新构建后可重启 DSH 验证，但要保持原目录和其依赖完整。</w:t>
      </w:r>
    </w:p>
    <w:p>
      <w:pPr>
        <w:spacing w:after="60" w:line="254" w:lineRule="auto"/>
        <w:ind w:left="351" w:hanging="351"/>
      </w:pPr>
      <w:r>
        <w:rPr>
          <w:rFonts w:ascii="Microsoft YaHei" w:hAnsi="Microsoft YaHei" w:eastAsia="Microsoft YaHei"/>
          <w:color w:val="263640"/>
          <w:sz w:val="17"/>
        </w:rPr>
        <w:t>2.  先用 dsh --profile &lt;name&gt; --dump-config 确认 Bundle 层和插件行已进入最终配置，再重启目标 Profile，检查启动日志、功能结果、卸载与恢复路径。</w:t>
      </w:r>
    </w:p>
    <w:p>
      <w:pPr>
        <w:spacing w:after="60" w:line="254" w:lineRule="auto"/>
        <w:ind w:left="351" w:hanging="351"/>
      </w:pPr>
      <w:r>
        <w:rPr>
          <w:rFonts w:ascii="Microsoft YaHei" w:hAnsi="Microsoft YaHei" w:eastAsia="Microsoft YaHei"/>
          <w:color w:val="263640"/>
          <w:sz w:val="17"/>
        </w:rPr>
        <w:t>3.  发布前用 npm pack 检查 tarball 内容，再从 Harness Desktop 的“压缩包”入口在干净 Profile 中做一次安装验收。建议使用固定版本记录兼容结论。</w:t>
      </w:r>
    </w:p>
    <w:p>
      <w:pPr>
        <w:spacing w:after="60" w:line="254" w:lineRule="auto"/>
        <w:ind w:left="351" w:hanging="351"/>
      </w:pPr>
      <w:r>
        <w:rPr>
          <w:rFonts w:ascii="Microsoft YaHei" w:hAnsi="Microsoft YaHei" w:eastAsia="Microsoft YaHei"/>
          <w:color w:val="263640"/>
          <w:sz w:val="17"/>
        </w:rPr>
        <w:t>4.  Git 源如果依赖 prepare 构建，pnpm 10 及以上可能因 allowBuilds 策略拒绝首次安装。按日志给出的包键修改目标 Profile 的 pnpm-workspace.yaml 后重试，或发布已构建的 npm 包、tarball。</w:t>
      </w:r>
    </w:p>
    <w:p>
      <w:pPr>
        <w:spacing w:after="60" w:line="254" w:lineRule="auto"/>
        <w:ind w:left="351" w:hanging="351"/>
      </w:pPr>
      <w:r>
        <w:rPr>
          <w:rFonts w:ascii="Microsoft YaHei" w:hAnsi="Microsoft YaHei" w:eastAsia="Microsoft YaHei"/>
          <w:color w:val="263640"/>
          <w:sz w:val="17"/>
        </w:rPr>
        <w:t>5.  将插件按可执行代码审核。确认文件、网络、命令与凭据访问范围，不在默认配置或日志中写入 Token 和业务敏感信息，并提供明确的移除、回退与数据清理说明。</w:t>
      </w:r>
    </w:p>
    <w:p>
      <w:pPr>
        <w:pageBreakBefore/>
        <w:spacing w:before="0" w:after="20"/>
      </w:pPr>
      <w:r>
        <w:rPr>
          <w:rFonts w:ascii="Microsoft YaHei" w:hAnsi="Microsoft YaHei" w:eastAsia="Microsoft YaHei"/>
          <w:b/>
          <w:color w:val="263640"/>
          <w:sz w:val="17"/>
        </w:rPr>
        <w:t>第六部分 操作示例与安全要求</w:t>
      </w:r>
    </w:p>
    <w:p>
      <w:pPr>
        <w:pStyle w:val="Heading1"/>
        <w:keepNext/>
        <w:spacing w:before="0" w:after="140"/>
      </w:pPr>
      <w:r>
        <w:rPr>
          <w:rFonts w:ascii="Microsoft YaHei" w:hAnsi="Microsoft YaHei" w:eastAsia="Microsoft YaHei"/>
          <w:b/>
          <w:color w:val="000000"/>
          <w:sz w:val="38"/>
        </w:rPr>
        <w:t>最小插件开发示例</w:t>
      </w:r>
    </w:p>
    <w:p>
      <w:pPr>
        <w:keepNext w:val="0"/>
        <w:spacing w:before="0" w:after="80" w:line="269" w:lineRule="auto"/>
      </w:pPr>
      <w:r>
        <w:rPr>
          <w:rFonts w:ascii="Microsoft YaHei" w:hAnsi="Microsoft YaHei" w:eastAsia="Microsoft YaHei"/>
          <w:color w:val="263640"/>
          <w:sz w:val="18"/>
        </w:rPr>
        <w:t>下面示例实现一个启动时输出日志的最小插件。它不需要构建步骤，可直接通过 Harness Desktop 的“本地目录”来源安装，适合用于验证包结构、Bundle 声明和 Profile 加载流程。</w:t>
      </w:r>
    </w:p>
    <w:p>
      <w:pPr>
        <w:pStyle w:val="Heading2"/>
        <w:keepNext/>
        <w:spacing w:before="140" w:after="80"/>
      </w:pPr>
      <w:r>
        <w:rPr>
          <w:rFonts w:ascii="Microsoft YaHei" w:hAnsi="Microsoft YaHei" w:eastAsia="Microsoft YaHei"/>
          <w:b/>
          <w:color w:val="000000"/>
          <w:sz w:val="25"/>
        </w:rPr>
        <w:t>目录结构</w:t>
      </w:r>
    </w:p>
    <w:p>
      <w:pPr>
        <w:spacing w:before="0" w:after="60" w:line="240" w:lineRule="auto"/>
        <w:ind w:left="360"/>
      </w:pPr>
      <w:r>
        <w:rPr>
          <w:rFonts w:ascii="Consolas" w:hAnsi="Consolas" w:eastAsia="Consolas"/>
          <w:color w:val="263640"/>
          <w:sz w:val="16"/>
        </w:rPr>
        <w:t>hello-dsh-plugin/</w:t>
        <w:br/>
        <w:t>|-- package.json</w:t>
        <w:br/>
        <w:t>|-- index.js</w:t>
        <w:br/>
        <w:t>`-- cordis.patch.yml</w:t>
      </w:r>
    </w:p>
    <w:p>
      <w:pPr>
        <w:pStyle w:val="Heading2"/>
        <w:keepNext/>
        <w:spacing w:before="140" w:after="80"/>
      </w:pPr>
      <w:r>
        <w:rPr>
          <w:rFonts w:ascii="Microsoft YaHei" w:hAnsi="Microsoft YaHei" w:eastAsia="Microsoft YaHei"/>
          <w:b/>
          <w:color w:val="000000"/>
          <w:sz w:val="25"/>
        </w:rPr>
        <w:t>代码与配置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18"/>
        <w:gridCol w:w="5018"/>
      </w:tblGrid>
      <w:tr>
        <w:trPr>
          <w:tblHeader w:val="true"/>
          <w:cantSplit/>
        </w:trPr>
        <w:tc>
          <w:tcPr>
            <w:tcW w:type="dxa" w:w="194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183B56"/>
          </w:tcPr>
          <w:p>
            <w:pPr>
              <w:spacing w:before="0" w:after="0" w:line="259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文件</w:t>
            </w:r>
          </w:p>
        </w:tc>
        <w:tc>
          <w:tcPr>
            <w:tcW w:type="dxa" w:w="780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183B56"/>
          </w:tcPr>
          <w:p>
            <w:pPr>
              <w:spacing w:before="0" w:after="0" w:line="259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最小示例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before="0" w:after="0" w:line="259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63640"/>
                <w:sz w:val="16"/>
              </w:rPr>
              <w:t>package.json</w:t>
            </w:r>
          </w:p>
        </w:tc>
        <w:tc>
          <w:tcPr>
            <w:tcW w:type="dxa" w:w="7805"/>
            <w:vAlign w:val="center"/>
            <w:tcMar>
              <w:top w:w="65" w:type="dxa"/>
              <w:start w:w="110" w:type="dxa"/>
              <w:bottom w:w="65" w:type="dxa"/>
              <w:end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Consolas" w:hAnsi="Consolas" w:eastAsia="Consolas"/>
                <w:b w:val="0"/>
                <w:color w:val="263640"/>
                <w:sz w:val="15"/>
              </w:rPr>
              <w:t>{</w:t>
              <w:br/>
              <w:t xml:space="preserve">  "name": "dsh-hello-plugin",</w:t>
              <w:br/>
              <w:t xml:space="preserve">  "version": "0.1.0",</w:t>
              <w:br/>
              <w:t xml:space="preserve">  "type": "module",</w:t>
              <w:br/>
              <w:t xml:space="preserve">  "main": "index.js",</w:t>
              <w:br/>
              <w:t xml:space="preserve">  "files": ["index.js", "cordis.patch.yml"],</w:t>
              <w:br/>
              <w:t xml:space="preserve">  "dsh": {"bundle": {"patch": "./cordis.patch.yml"}}</w:t>
              <w:br/>
              <w:t>}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3F7FA"/>
          </w:tcPr>
          <w:p>
            <w:pPr>
              <w:spacing w:before="0" w:after="0" w:line="259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63640"/>
                <w:sz w:val="16"/>
              </w:rPr>
              <w:t>index.js</w:t>
            </w:r>
          </w:p>
        </w:tc>
        <w:tc>
          <w:tcPr>
            <w:tcW w:type="dxa" w:w="7805"/>
            <w:vAlign w:val="center"/>
            <w:tcMar>
              <w:top w:w="65" w:type="dxa"/>
              <w:start w:w="110" w:type="dxa"/>
              <w:bottom w:w="65" w:type="dxa"/>
              <w:end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shd w:fill="F3F7FA"/>
          </w:tcPr>
          <w:p>
            <w:pPr>
              <w:spacing w:before="0" w:after="0" w:line="240" w:lineRule="auto"/>
              <w:jc w:val="left"/>
            </w:pPr>
            <w:r>
              <w:rPr>
                <w:rFonts w:ascii="Consolas" w:hAnsi="Consolas" w:eastAsia="Consolas"/>
                <w:b w:val="0"/>
                <w:color w:val="263640"/>
                <w:sz w:val="15"/>
              </w:rPr>
              <w:t>export const name = 'hello-plugin'</w:t>
              <w:br/>
              <w:t>export function apply() {</w:t>
              <w:br/>
              <w:t xml:space="preserve">  console.log('[hello-plugin] loaded')</w:t>
              <w:br/>
              <w:t>}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before="0" w:after="0" w:line="259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63640"/>
                <w:sz w:val="16"/>
              </w:rPr>
              <w:t>cordis.patch.yml</w:t>
            </w:r>
          </w:p>
        </w:tc>
        <w:tc>
          <w:tcPr>
            <w:tcW w:type="dxa" w:w="7805"/>
            <w:vAlign w:val="center"/>
            <w:tcMar>
              <w:top w:w="65" w:type="dxa"/>
              <w:start w:w="110" w:type="dxa"/>
              <w:bottom w:w="65" w:type="dxa"/>
              <w:end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Consolas" w:hAnsi="Consolas" w:eastAsia="Consolas"/>
                <w:b w:val="0"/>
                <w:color w:val="263640"/>
                <w:sz w:val="15"/>
              </w:rPr>
              <w:t>- insert:</w:t>
              <w:br/>
              <w:t xml:space="preserve">    - id: hello</w:t>
              <w:br/>
              <w:t xml:space="preserve">      name: dsh-hello-plugin</w:t>
            </w:r>
          </w:p>
        </w:tc>
      </w:tr>
    </w:tbl>
    <w:p>
      <w:pPr>
        <w:keepNext w:val="0"/>
        <w:spacing w:before="0" w:after="20" w:line="269" w:lineRule="auto"/>
      </w:pPr>
    </w:p>
    <w:p>
      <w:pPr>
        <w:pStyle w:val="Heading2"/>
        <w:keepNext/>
        <w:spacing w:before="140" w:after="80"/>
      </w:pPr>
      <w:r>
        <w:rPr>
          <w:rFonts w:ascii="Microsoft YaHei" w:hAnsi="Microsoft YaHei" w:eastAsia="Microsoft YaHei"/>
          <w:b/>
          <w:color w:val="000000"/>
          <w:sz w:val="25"/>
        </w:rPr>
        <w:t>开发与验证步骤</w:t>
      </w:r>
    </w:p>
    <w:p>
      <w:pPr>
        <w:spacing w:after="60" w:line="254" w:lineRule="auto"/>
        <w:ind w:left="351" w:hanging="351"/>
      </w:pPr>
      <w:r>
        <w:rPr>
          <w:rFonts w:ascii="Microsoft YaHei" w:hAnsi="Microsoft YaHei" w:eastAsia="Microsoft YaHei"/>
          <w:color w:val="263640"/>
          <w:sz w:val="17"/>
        </w:rPr>
        <w:t>1.  新建 hello-dsh-plugin 目录，按上表创建三个文件。确保 package.json 能被 JSON 解析，补丁中的包名与 name 完全一致。</w:t>
      </w:r>
    </w:p>
    <w:p>
      <w:pPr>
        <w:spacing w:after="60" w:line="254" w:lineRule="auto"/>
        <w:ind w:left="351" w:hanging="351"/>
      </w:pPr>
      <w:r>
        <w:rPr>
          <w:rFonts w:ascii="Microsoft YaHei" w:hAnsi="Microsoft YaHei" w:eastAsia="Microsoft YaHei"/>
          <w:color w:val="263640"/>
          <w:sz w:val="17"/>
        </w:rPr>
        <w:t>2.  打开 Harness Desktop，确认弹窗显示的目标 Profile，选择“本地目录”，浏览到 hello-dsh-plugin 后点击“安装”。</w:t>
      </w:r>
    </w:p>
    <w:p>
      <w:pPr>
        <w:spacing w:after="60" w:line="254" w:lineRule="auto"/>
        <w:ind w:left="351" w:hanging="351"/>
      </w:pPr>
      <w:r>
        <w:rPr>
          <w:rFonts w:ascii="Microsoft YaHei" w:hAnsi="Microsoft YaHei" w:eastAsia="Microsoft YaHei"/>
          <w:color w:val="263640"/>
          <w:sz w:val="17"/>
        </w:rPr>
        <w:t>3.  安装成功后重启 DSH。在控制台启动日志中看到 [hello-plugin] loaded，表示入口已被加载。</w:t>
      </w:r>
    </w:p>
    <w:p>
      <w:pPr>
        <w:spacing w:after="60" w:line="254" w:lineRule="auto"/>
        <w:ind w:left="351" w:hanging="351"/>
      </w:pPr>
      <w:r>
        <w:rPr>
          <w:rFonts w:ascii="Microsoft YaHei" w:hAnsi="Microsoft YaHei" w:eastAsia="Microsoft YaHei"/>
          <w:color w:val="263640"/>
          <w:sz w:val="17"/>
        </w:rPr>
        <w:t>4.  运行 dsh --profile &lt;name&gt; --dump-config，确认最终配置中存在 id 为 hello 的插件行。如未出现，先核对 dsh.bundle.patch 和补丁文件路径。</w:t>
      </w:r>
    </w:p>
    <w:p>
      <w:pPr>
        <w:spacing w:after="60" w:line="254" w:lineRule="auto"/>
        <w:ind w:left="351" w:hanging="351"/>
      </w:pPr>
      <w:r>
        <w:rPr>
          <w:rFonts w:ascii="Microsoft YaHei" w:hAnsi="Microsoft YaHei" w:eastAsia="Microsoft YaHei"/>
          <w:color w:val="263640"/>
          <w:sz w:val="17"/>
        </w:rPr>
        <w:t>5.  修改 index.js 后重启 DSH 重新验证。需要交付时执行 npm pack，再从“压缩包”入口安装生成的 .tgz 做一次干净验收。</w:t>
      </w:r>
    </w:p>
    <w:p>
      <w:pPr>
        <w:keepNext w:val="0"/>
        <w:spacing w:before="0" w:after="40" w:line="269" w:lineRule="auto"/>
      </w:pPr>
      <w:r>
        <w:rPr>
          <w:rFonts w:ascii="Microsoft YaHei" w:hAnsi="Microsoft YaHei" w:eastAsia="Microsoft YaHei"/>
          <w:color w:val="263640"/>
          <w:sz w:val="17"/>
        </w:rPr>
        <w:t>示例只验证插件的安装和加载。实际功能应通过 ctx 注册工具、服务或事件，并按前文要求处理依赖、资源释放和版本兼容。</w:t>
      </w:r>
    </w:p>
    <w:p>
      <w:pPr>
        <w:pageBreakBefore/>
        <w:spacing w:after="20"/>
      </w:pPr>
      <w:r>
        <w:rPr>
          <w:rFonts w:ascii="Microsoft YaHei" w:hAnsi="Microsoft YaHei" w:eastAsia="Microsoft YaHei"/>
          <w:b/>
          <w:color w:val="1F6FA8"/>
          <w:sz w:val="17"/>
        </w:rPr>
        <w:t>第六部分 操作示例与安全要求</w:t>
      </w:r>
    </w:p>
    <w:p>
      <w:pPr>
        <w:pStyle w:val="Heading1"/>
        <w:keepNext/>
        <w:spacing w:after="140"/>
      </w:pPr>
      <w:r>
        <w:rPr>
          <w:rFonts w:ascii="Microsoft YaHei" w:hAnsi="Microsoft YaHei" w:eastAsia="Microsoft YaHei"/>
          <w:b/>
          <w:color w:val="000000"/>
          <w:sz w:val="38"/>
        </w:rPr>
        <w:t>使用边界与安全要求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18"/>
        <w:gridCol w:w="5018"/>
      </w:tblGrid>
      <w:tr>
        <w:trPr>
          <w:tblHeader w:val="true"/>
        </w:trPr>
        <w:tc>
          <w:tcPr>
            <w:tcW w:type="dxa" w:w="2835"/>
            <w:shd w:fill="183B56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风险</w:t>
            </w:r>
          </w:p>
        </w:tc>
        <w:tc>
          <w:tcPr>
            <w:tcW w:type="dxa" w:w="6917"/>
            <w:shd w:fill="183B56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应对措施</w:t>
            </w:r>
          </w:p>
        </w:tc>
      </w:tr>
      <w:tr>
        <w:tc>
          <w:tcPr>
            <w:tcW w:type="dxa" w:w="2835"/>
            <w:shd w:fill="FFFFFF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263640"/>
                <w:sz w:val="17"/>
              </w:rPr>
              <w:t>插件来源不明</w:t>
            </w:r>
          </w:p>
        </w:tc>
        <w:tc>
          <w:tcPr>
            <w:tcW w:type="dxa" w:w="6917"/>
            <w:shd w:fill="FFFFFF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263640"/>
                <w:sz w:val="17"/>
              </w:rPr>
              <w:t>优先选择官方或可信来源，安装前检查权限、代码来源、维护状态与卸载方法</w:t>
            </w:r>
          </w:p>
        </w:tc>
      </w:tr>
      <w:tr>
        <w:tc>
          <w:tcPr>
            <w:tcW w:type="dxa" w:w="2835"/>
            <w:shd w:fill="EAF4FA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263640"/>
                <w:sz w:val="17"/>
              </w:rPr>
              <w:t>命令具有破坏性</w:t>
            </w:r>
          </w:p>
        </w:tc>
        <w:tc>
          <w:tcPr>
            <w:tcW w:type="dxa" w:w="6917"/>
            <w:shd w:fill="EAF4FA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263640"/>
                <w:sz w:val="17"/>
              </w:rPr>
              <w:t>不得执行含义不明的命令；删除、覆盖或上传数据前必须确认影响范围</w:t>
            </w:r>
          </w:p>
        </w:tc>
      </w:tr>
      <w:tr>
        <w:tc>
          <w:tcPr>
            <w:tcW w:type="dxa" w:w="2835"/>
            <w:shd w:fill="FFFFFF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263640"/>
                <w:sz w:val="17"/>
              </w:rPr>
              <w:t>工作空间范围过大</w:t>
            </w:r>
          </w:p>
        </w:tc>
        <w:tc>
          <w:tcPr>
            <w:tcW w:type="dxa" w:w="6917"/>
            <w:shd w:fill="FFFFFF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263640"/>
                <w:sz w:val="17"/>
              </w:rPr>
              <w:t>仅授权任务必需的目录，避免将整个用户目录设置为默认工作空间</w:t>
            </w:r>
          </w:p>
        </w:tc>
      </w:tr>
      <w:tr>
        <w:tc>
          <w:tcPr>
            <w:tcW w:type="dxa" w:w="2835"/>
            <w:shd w:fill="EAF4FA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263640"/>
                <w:sz w:val="17"/>
              </w:rPr>
              <w:t>版本回退导致不兼容</w:t>
            </w:r>
          </w:p>
        </w:tc>
        <w:tc>
          <w:tcPr>
            <w:tcW w:type="dxa" w:w="6917"/>
            <w:shd w:fill="EAF4FA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263640"/>
                <w:sz w:val="17"/>
              </w:rPr>
              <w:t>记录当前版本和插件清单，回退前保留设置与数据备份</w:t>
            </w:r>
          </w:p>
        </w:tc>
      </w:tr>
      <w:tr>
        <w:tc>
          <w:tcPr>
            <w:tcW w:type="dxa" w:w="2835"/>
            <w:shd w:fill="FFFFFF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263640"/>
                <w:sz w:val="17"/>
              </w:rPr>
              <w:t>日志包含敏感信息</w:t>
            </w:r>
          </w:p>
        </w:tc>
        <w:tc>
          <w:tcPr>
            <w:tcW w:type="dxa" w:w="6917"/>
            <w:shd w:fill="FFFFFF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263640"/>
                <w:sz w:val="17"/>
              </w:rPr>
              <w:t>分享日志前检查路径、Token、账号、业务数据和内部地址</w:t>
            </w:r>
          </w:p>
        </w:tc>
      </w:tr>
      <w:tr>
        <w:tc>
          <w:tcPr>
            <w:tcW w:type="dxa" w:w="2835"/>
            <w:shd w:fill="EAF4FA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263640"/>
                <w:sz w:val="17"/>
              </w:rPr>
              <w:t>将桌面端误认为沙箱</w:t>
            </w:r>
          </w:p>
        </w:tc>
        <w:tc>
          <w:tcPr>
            <w:tcW w:type="dxa" w:w="6917"/>
            <w:shd w:fill="EAF4FA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263640"/>
                <w:sz w:val="17"/>
              </w:rPr>
              <w:t>桌面端负责服务管理；实际隔离边界由 DSH 的 Sandbox 与 Policy 决定</w:t>
            </w:r>
          </w:p>
        </w:tc>
      </w:tr>
    </w:tbl>
    <w:p>
      <w:pPr>
        <w:spacing w:after="0"/>
      </w:pPr>
    </w:p>
    <w:p>
      <w:pPr>
        <w:pStyle w:val="Heading2"/>
        <w:keepNext/>
        <w:spacing w:before="140" w:after="80"/>
      </w:pPr>
      <w:r>
        <w:rPr>
          <w:rFonts w:ascii="Microsoft YaHei" w:hAnsi="Microsoft YaHei" w:eastAsia="Microsoft YaHei"/>
          <w:b/>
          <w:color w:val="000000"/>
          <w:sz w:val="25"/>
        </w:rPr>
        <w:t>建议实施路径</w:t>
      </w:r>
    </w:p>
    <w:p>
      <w:pPr>
        <w:pStyle w:val="ListBullet"/>
        <w:spacing w:after="60" w:line="264" w:lineRule="auto"/>
      </w:pPr>
      <w:r>
        <w:rPr>
          <w:rFonts w:ascii="Microsoft YaHei" w:hAnsi="Microsoft YaHei" w:eastAsia="Microsoft YaHei"/>
          <w:b w:val="0"/>
          <w:color w:val="263640"/>
          <w:sz w:val="19"/>
        </w:rPr>
        <w:t>第一阶段：使用 Harness Desktop 启动默认 web Profile，熟悉界面、Session 与日志。</w:t>
      </w:r>
    </w:p>
    <w:p>
      <w:pPr>
        <w:pStyle w:val="ListBullet"/>
        <w:spacing w:after="60" w:line="264" w:lineRule="auto"/>
      </w:pPr>
      <w:r>
        <w:rPr>
          <w:rFonts w:ascii="Microsoft YaHei" w:hAnsi="Microsoft YaHei" w:eastAsia="Microsoft YaHei"/>
          <w:b w:val="0"/>
          <w:color w:val="263640"/>
          <w:sz w:val="19"/>
        </w:rPr>
        <w:t>第二阶段：安装少量可信插件，掌握配置树检查与恢复方法。</w:t>
      </w:r>
    </w:p>
    <w:p>
      <w:pPr>
        <w:pStyle w:val="ListBullet"/>
        <w:spacing w:after="60" w:line="264" w:lineRule="auto"/>
      </w:pPr>
      <w:r>
        <w:rPr>
          <w:rFonts w:ascii="Microsoft YaHei" w:hAnsi="Microsoft YaHei" w:eastAsia="Microsoft YaHei"/>
          <w:b w:val="0"/>
          <w:color w:val="263640"/>
          <w:sz w:val="19"/>
        </w:rPr>
        <w:t>第三阶段：在业务需求明确后，设计专用 Profile、权限、存储或模型路由。</w:t>
      </w:r>
    </w:p>
    <w:p>
      <w:pPr>
        <w:pStyle w:val="ListBullet"/>
        <w:spacing w:after="60" w:line="264" w:lineRule="auto"/>
      </w:pPr>
      <w:r>
        <w:rPr>
          <w:rFonts w:ascii="Microsoft YaHei" w:hAnsi="Microsoft YaHei" w:eastAsia="Microsoft YaHei"/>
          <w:b w:val="0"/>
          <w:color w:val="263640"/>
          <w:sz w:val="19"/>
        </w:rPr>
        <w:t>第四阶段：仅在平台建设确有需要时，替换 Agent Loop、Session 或 Sandbox 等 Harness Core。</w:t>
      </w:r>
    </w:p>
    <w:p>
      <w:pPr>
        <w:spacing w:after="100" w:line="283" w:lineRule="auto"/>
      </w:pPr>
      <w:r>
        <w:rPr>
          <w:rFonts w:ascii="Microsoft YaHei" w:hAnsi="Microsoft YaHei" w:eastAsia="Microsoft YaHei"/>
          <w:b w:val="0"/>
          <w:color w:val="263640"/>
          <w:sz w:val="19"/>
        </w:rPr>
        <w:t>应先验证默认组合的稳定性，再逐项调整配置并确认结果。模块化的主要价值在于可控组合与独立验证。</w:t>
      </w:r>
    </w:p>
    <w:p>
      <w:r>
        <w:br w:type="page"/>
      </w:r>
    </w:p>
    <w:p>
      <w:pPr>
        <w:spacing w:after="0" w:line="560" w:lineRule="exact"/>
      </w:pPr>
      <w:r>
        <w:rPr>
          <w:rFonts w:ascii="Microsoft YaHei" w:hAnsi="Microsoft YaHei" w:eastAsia="Microsoft YaHei"/>
          <w:b w:val="0"/>
          <w:color w:val="FFFFFF"/>
          <w:sz w:val="16"/>
        </w:rPr>
        <w:t xml:space="preserve"> </w:t>
      </w:r>
    </w:p>
    <w:p>
      <w:pPr>
        <w:spacing w:after="20"/>
      </w:pPr>
      <w:r>
        <w:rPr>
          <w:rFonts w:ascii="Microsoft YaHei" w:hAnsi="Microsoft YaHei" w:eastAsia="Microsoft YaHei"/>
          <w:b/>
          <w:color w:val="1F6FA8"/>
          <w:sz w:val="17"/>
        </w:rPr>
        <w:t>附录</w:t>
      </w:r>
    </w:p>
    <w:p>
      <w:pPr>
        <w:pStyle w:val="Heading1"/>
        <w:keepNext/>
        <w:spacing w:after="140"/>
      </w:pPr>
      <w:r>
        <w:rPr>
          <w:rFonts w:ascii="Microsoft YaHei" w:hAnsi="Microsoft YaHei" w:eastAsia="Microsoft YaHei"/>
          <w:b/>
          <w:color w:val="000000"/>
          <w:sz w:val="38"/>
        </w:rPr>
        <w:t>术语表与资料来源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18"/>
        <w:gridCol w:w="5018"/>
      </w:tblGrid>
      <w:tr>
        <w:trPr>
          <w:tblHeader w:val="true"/>
        </w:trPr>
        <w:tc>
          <w:tcPr>
            <w:tcW w:type="dxa" w:w="2041"/>
            <w:shd w:fill="183B56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术语</w:t>
            </w:r>
          </w:p>
        </w:tc>
        <w:tc>
          <w:tcPr>
            <w:tcW w:type="dxa" w:w="7710"/>
            <w:shd w:fill="183B56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定义</w:t>
            </w:r>
          </w:p>
        </w:tc>
      </w:tr>
      <w:tr>
        <w:tc>
          <w:tcPr>
            <w:tcW w:type="dxa" w:w="2041"/>
            <w:shd w:fill="FFFFFF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263640"/>
                <w:sz w:val="17"/>
              </w:rPr>
              <w:t>Model</w:t>
            </w:r>
          </w:p>
        </w:tc>
        <w:tc>
          <w:tcPr>
            <w:tcW w:type="dxa" w:w="7710"/>
            <w:shd w:fill="FFFFFF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263640"/>
                <w:sz w:val="17"/>
              </w:rPr>
              <w:t>提供语言理解、推理与内容生成能力的模型</w:t>
            </w:r>
          </w:p>
        </w:tc>
      </w:tr>
      <w:tr>
        <w:tc>
          <w:tcPr>
            <w:tcW w:type="dxa" w:w="2041"/>
            <w:shd w:fill="EAF4FA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263640"/>
                <w:sz w:val="17"/>
              </w:rPr>
              <w:t>Agent</w:t>
            </w:r>
          </w:p>
        </w:tc>
        <w:tc>
          <w:tcPr>
            <w:tcW w:type="dxa" w:w="7710"/>
            <w:shd w:fill="EAF4FA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63640"/>
                <w:sz w:val="17"/>
              </w:rPr>
              <w:t>围绕既定目标持续执行任务的整体</w:t>
            </w:r>
          </w:p>
        </w:tc>
      </w:tr>
      <w:tr>
        <w:tc>
          <w:tcPr>
            <w:tcW w:type="dxa" w:w="2041"/>
            <w:shd w:fill="FFFFFF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263640"/>
                <w:sz w:val="17"/>
              </w:rPr>
              <w:t>Harness</w:t>
            </w:r>
          </w:p>
        </w:tc>
        <w:tc>
          <w:tcPr>
            <w:tcW w:type="dxa" w:w="7710"/>
            <w:shd w:fill="FFFFFF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263640"/>
                <w:sz w:val="17"/>
              </w:rPr>
              <w:t>组织模型感知、行动、记录与循环执行的运行系统</w:t>
            </w:r>
          </w:p>
        </w:tc>
      </w:tr>
      <w:tr>
        <w:tc>
          <w:tcPr>
            <w:tcW w:type="dxa" w:w="2041"/>
            <w:shd w:fill="EAF4FA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263640"/>
                <w:sz w:val="17"/>
              </w:rPr>
              <w:t>Cordis</w:t>
            </w:r>
          </w:p>
        </w:tc>
        <w:tc>
          <w:tcPr>
            <w:tcW w:type="dxa" w:w="7710"/>
            <w:shd w:fill="EAF4FA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263640"/>
                <w:sz w:val="17"/>
              </w:rPr>
              <w:t>DSH 用于插件装配和共享 Context 的基础设施</w:t>
            </w:r>
          </w:p>
        </w:tc>
      </w:tr>
      <w:tr>
        <w:tc>
          <w:tcPr>
            <w:tcW w:type="dxa" w:w="2041"/>
            <w:shd w:fill="FFFFFF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263640"/>
                <w:sz w:val="17"/>
              </w:rPr>
              <w:t>Agent Loop</w:t>
            </w:r>
          </w:p>
        </w:tc>
        <w:tc>
          <w:tcPr>
            <w:tcW w:type="dxa" w:w="7710"/>
            <w:shd w:fill="FFFFFF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263640"/>
                <w:sz w:val="17"/>
              </w:rPr>
              <w:t>调用模型、执行工具、返回结果并继续判断的循环机制</w:t>
            </w:r>
          </w:p>
        </w:tc>
      </w:tr>
      <w:tr>
        <w:tc>
          <w:tcPr>
            <w:tcW w:type="dxa" w:w="2041"/>
            <w:shd w:fill="EAF4FA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263640"/>
                <w:sz w:val="17"/>
              </w:rPr>
              <w:t>Session</w:t>
            </w:r>
          </w:p>
        </w:tc>
        <w:tc>
          <w:tcPr>
            <w:tcW w:type="dxa" w:w="7710"/>
            <w:shd w:fill="EAF4FA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63640"/>
                <w:sz w:val="17"/>
              </w:rPr>
              <w:t>完整保存任务过程的事件记录</w:t>
            </w:r>
          </w:p>
        </w:tc>
      </w:tr>
      <w:tr>
        <w:tc>
          <w:tcPr>
            <w:tcW w:type="dxa" w:w="2041"/>
            <w:shd w:fill="FFFFFF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263640"/>
                <w:sz w:val="17"/>
              </w:rPr>
              <w:t>Context</w:t>
            </w:r>
          </w:p>
        </w:tc>
        <w:tc>
          <w:tcPr>
            <w:tcW w:type="dxa" w:w="7710"/>
            <w:shd w:fill="FFFFFF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263640"/>
                <w:sz w:val="17"/>
              </w:rPr>
              <w:t>当前 Step 提供给模型的精选信息</w:t>
            </w:r>
          </w:p>
        </w:tc>
      </w:tr>
      <w:tr>
        <w:tc>
          <w:tcPr>
            <w:tcW w:type="dxa" w:w="2041"/>
            <w:shd w:fill="EAF4FA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263640"/>
                <w:sz w:val="17"/>
              </w:rPr>
              <w:t>Tool</w:t>
            </w:r>
          </w:p>
        </w:tc>
        <w:tc>
          <w:tcPr>
            <w:tcW w:type="dxa" w:w="7710"/>
            <w:shd w:fill="EAF4FA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263640"/>
                <w:sz w:val="17"/>
              </w:rPr>
              <w:t>执行文件、命令、API 等外部操作的能力</w:t>
            </w:r>
          </w:p>
        </w:tc>
      </w:tr>
      <w:tr>
        <w:tc>
          <w:tcPr>
            <w:tcW w:type="dxa" w:w="2041"/>
            <w:shd w:fill="FFFFFF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263640"/>
                <w:sz w:val="17"/>
              </w:rPr>
              <w:t>Sandbox</w:t>
            </w:r>
          </w:p>
        </w:tc>
        <w:tc>
          <w:tcPr>
            <w:tcW w:type="dxa" w:w="7710"/>
            <w:shd w:fill="FFFFFF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263640"/>
                <w:sz w:val="17"/>
              </w:rPr>
              <w:t>限制执行环境及影响范围的隔离机制</w:t>
            </w:r>
          </w:p>
        </w:tc>
      </w:tr>
      <w:tr>
        <w:tc>
          <w:tcPr>
            <w:tcW w:type="dxa" w:w="2041"/>
            <w:shd w:fill="EAF4FA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263640"/>
                <w:sz w:val="17"/>
              </w:rPr>
              <w:t>Profile</w:t>
            </w:r>
          </w:p>
        </w:tc>
        <w:tc>
          <w:tcPr>
            <w:tcW w:type="dxa" w:w="7710"/>
            <w:shd w:fill="EAF4FA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rFonts w:ascii="Microsoft YaHei" w:hAnsi="Microsoft YaHei" w:eastAsia="Microsoft YaHei"/>
                <w:b w:val="0"/>
                <w:color w:val="263640"/>
                <w:sz w:val="17"/>
              </w:rPr>
              <w:t>一组可命名的 DSH 运行配置</w:t>
            </w:r>
          </w:p>
        </w:tc>
      </w:tr>
    </w:tbl>
    <w:p>
      <w:pPr>
        <w:spacing w:after="0"/>
      </w:pPr>
    </w:p>
    <w:p>
      <w:pPr>
        <w:pStyle w:val="Heading2"/>
        <w:keepNext/>
        <w:spacing w:before="140" w:after="80"/>
      </w:pPr>
      <w:r>
        <w:rPr>
          <w:rFonts w:ascii="Microsoft YaHei" w:hAnsi="Microsoft YaHei" w:eastAsia="Microsoft YaHei"/>
          <w:b/>
          <w:color w:val="000000"/>
          <w:sz w:val="25"/>
        </w:rPr>
        <w:t>官方资料</w:t>
      </w:r>
    </w:p>
    <w:p>
      <w:pPr>
        <w:pStyle w:val="ListBullet"/>
        <w:spacing w:after="60"/>
      </w:pPr>
      <w:hyperlink r:id="rId17">
        <w:r>
          <w:rPr>
            <w:color w:val="1F6FA8"/>
            <w:u w:val="single"/>
            <w:rFonts w:ascii="Microsoft YaHei" w:hAnsi="Microsoft YaHei" w:eastAsia="Microsoft YaHei"/>
          </w:rPr>
          <w:t>DeepSeek Harness Architecture</w:t>
        </w:r>
      </w:hyperlink>
    </w:p>
    <w:p>
      <w:pPr>
        <w:pStyle w:val="ListBullet"/>
        <w:spacing w:after="60"/>
      </w:pPr>
      <w:hyperlink r:id="rId18">
        <w:r>
          <w:rPr>
            <w:color w:val="1F6FA8"/>
            <w:u w:val="single"/>
            <w:rFonts w:ascii="Microsoft YaHei" w:hAnsi="Microsoft YaHei" w:eastAsia="Microsoft YaHei"/>
          </w:rPr>
          <w:t>OpenAI Codex 产品介绍</w:t>
        </w:r>
      </w:hyperlink>
    </w:p>
    <w:p>
      <w:pPr>
        <w:pStyle w:val="ListBullet"/>
        <w:spacing w:after="60"/>
      </w:pPr>
      <w:hyperlink r:id="rId19">
        <w:r>
          <w:rPr>
            <w:color w:val="1F6FA8"/>
            <w:u w:val="single"/>
            <w:rFonts w:ascii="Microsoft YaHei" w:hAnsi="Microsoft YaHei" w:eastAsia="Microsoft YaHei"/>
          </w:rPr>
          <w:t>Cursor Agent Overview</w:t>
        </w:r>
      </w:hyperlink>
    </w:p>
    <w:p>
      <w:pPr>
        <w:pStyle w:val="ListBullet"/>
        <w:spacing w:after="60"/>
      </w:pPr>
      <w:hyperlink r:id="rId20">
        <w:r>
          <w:rPr>
            <w:color w:val="1F6FA8"/>
            <w:u w:val="single"/>
            <w:rFonts w:ascii="Microsoft YaHei" w:hAnsi="Microsoft YaHei" w:eastAsia="Microsoft YaHei"/>
          </w:rPr>
          <w:t>Cursor Agent Tools</w:t>
        </w:r>
      </w:hyperlink>
    </w:p>
    <w:p>
      <w:pPr>
        <w:pStyle w:val="ListBullet"/>
        <w:spacing w:after="60"/>
      </w:pPr>
      <w:hyperlink r:id="rId21">
        <w:r>
          <w:rPr>
            <w:color w:val="1F6FA8"/>
            <w:u w:val="single"/>
            <w:rFonts w:ascii="Microsoft YaHei" w:hAnsi="Microsoft YaHei" w:eastAsia="Microsoft YaHei"/>
          </w:rPr>
          <w:t>Anthropic Claude Code CLI Reference</w:t>
        </w:r>
      </w:hyperlink>
    </w:p>
    <w:p>
      <w:pPr>
        <w:pStyle w:val="ListBullet"/>
        <w:spacing w:after="60"/>
      </w:pPr>
      <w:hyperlink r:id="rId22">
        <w:r>
          <w:rPr>
            <w:color w:val="1F6FA8"/>
            <w:u w:val="single"/>
            <w:rFonts w:ascii="Microsoft YaHei" w:hAnsi="Microsoft YaHei" w:eastAsia="Microsoft YaHei"/>
          </w:rPr>
          <w:t>Tencent WorkBuddy 产品介绍</w:t>
        </w:r>
      </w:hyperlink>
    </w:p>
    <w:p>
      <w:pPr>
        <w:pStyle w:val="ListBullet"/>
        <w:spacing w:after="60"/>
      </w:pPr>
      <w:hyperlink r:id="rId23">
        <w:r>
          <w:rPr>
            <w:color w:val="1F6FA8"/>
            <w:u w:val="single"/>
            <w:rFonts w:ascii="Microsoft YaHei" w:hAnsi="Microsoft YaHei" w:eastAsia="Microsoft YaHei"/>
          </w:rPr>
          <w:t>WorkBuddy Buddy 应用</w:t>
        </w:r>
      </w:hyperlink>
    </w:p>
    <w:p>
      <w:pPr>
        <w:pStyle w:val="ListBullet"/>
      </w:pPr>
      <w:r>
        <w:rPr>
          <w:rFonts w:ascii="Microsoft YaHei" w:hAnsi="Microsoft YaHei" w:eastAsia="Microsoft YaHei"/>
          <w:color w:val="263640"/>
          <w:sz w:val="19"/>
        </w:rPr>
        <w:t>DeepSeek Harness Your First Plugin</w:t>
      </w:r>
    </w:p>
    <w:p>
      <w:pPr>
        <w:pStyle w:val="ListBullet"/>
      </w:pPr>
      <w:r>
        <w:rPr>
          <w:rFonts w:ascii="Microsoft YaHei" w:hAnsi="Microsoft YaHei" w:eastAsia="Microsoft YaHei"/>
          <w:color w:val="263640"/>
          <w:sz w:val="19"/>
        </w:rPr>
        <w:t>DeepSeek Harness Publishing a Bundle and Profile</w:t>
      </w:r>
    </w:p>
    <w:p>
      <w:pPr>
        <w:pStyle w:val="ListBullet"/>
      </w:pPr>
      <w:r>
        <w:rPr>
          <w:rFonts w:ascii="Microsoft YaHei" w:hAnsi="Microsoft YaHei" w:eastAsia="Microsoft YaHei"/>
          <w:color w:val="263640"/>
          <w:sz w:val="19"/>
        </w:rPr>
        <w:t>DeepSeek Harness CLI Behavior Reference</w:t>
      </w:r>
    </w:p>
    <w:p>
      <w:pPr>
        <w:spacing w:after="100" w:line="283" w:lineRule="auto"/>
      </w:pPr>
      <w:r>
        <w:rPr>
          <w:rFonts w:ascii="Microsoft YaHei" w:hAnsi="Microsoft YaHei" w:eastAsia="Microsoft YaHei"/>
          <w:b/>
          <w:color w:val="263640"/>
          <w:sz w:val="18"/>
        </w:rPr>
        <w:t>项目依据：Teager_DSH_Launcher v1.1.0 的 package.json、主进程、安装器、服务管理、版本管理、plugin-install、plugin-hub、预加载与渲染界面源码。</w:t>
      </w:r>
      <w:r>
        <w:rPr>
          <w:rFonts w:ascii="Microsoft YaHei" w:hAnsi="Microsoft YaHei" w:eastAsia="Microsoft YaHei"/>
          <w:b w:val="0"/>
          <w:color w:val="606A73"/>
          <w:sz w:val="17"/>
        </w:rPr>
      </w:r>
    </w:p>
    <w:p>
      <w:pPr>
        <w:spacing w:after="100" w:line="283" w:lineRule="auto"/>
      </w:pPr>
      <w:r>
        <w:rPr>
          <w:rFonts w:ascii="Microsoft YaHei" w:hAnsi="Microsoft YaHei" w:eastAsia="Microsoft YaHei"/>
          <w:b w:val="0"/>
          <w:color w:val="263640"/>
          <w:sz w:val="20"/>
        </w:rPr>
        <w:t>Model 主要决定 Agent 的理解与判断能力，Harness 主要决定 Agent 获取信息、调用工具、保存状态和持续执行任务的方式。业务用户通常应优先选择能够直接完成目标任务的成品；当运行机制需要定制和控制时，再评估 DSH 的插件化能力。</w:t>
      </w:r>
    </w:p>
    <w:sectPr w:rsidR="00FC693F" w:rsidRPr="0006063C" w:rsidSect="00034616">
      <w:footerReference w:type="default" r:id="rId9"/>
      <w:pgSz w:w="11906" w:h="16838"/>
      <w:pgMar w:top="879" w:right="935" w:bottom="822" w:left="935" w:header="397" w:footer="39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83" w:lineRule="auto"/>
    </w:pPr>
    <w:rPr>
      <w:rFonts w:ascii="Microsoft YaHei" w:hAnsi="Microsoft YaHei" w:eastAsia="Microsoft YaHei"/>
      <w:color w:val="263640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0" w:after="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000000"/>
      <w:sz w:val="3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000000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200" w:line="240" w:lineRule="auto"/>
      <w:contextualSpacing/>
    </w:pPr>
    <w:rPr>
      <w:rFonts w:asciiTheme="majorHAnsi" w:eastAsiaTheme="majorEastAsia" w:hAnsiTheme="majorHAnsi" w:cstheme="majorBidi" w:ascii="Microsoft YaHei" w:hAnsi="Microsoft YaHei" w:eastAsia="Microsoft YaHei"/>
      <w:b/>
      <w:color w:val="000000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Microsoft YaHei" w:hAnsi="Microsoft YaHei" w:eastAsia="Microsoft YaHei"/>
      <w:b w:val="0"/>
      <w:i/>
      <w:iCs/>
      <w:color w:val="000000"/>
      <w:spacing w:val="15"/>
      <w:sz w:val="26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Microsoft YaHei" w:hAnsi="Microsoft YaHei" w:eastAsia="Microsoft YaHei"/>
      <w:sz w:val="19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rFonts w:ascii="Microsoft YaHei" w:hAnsi="Microsoft YaHei" w:eastAsia="Microsoft YaHei"/>
      <w:sz w:val="19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Microsoft YaHei" w:hAnsi="Microsoft YaHei" w:eastAsia="Microsoft YaHei"/>
      <w:sz w:val="19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image" Target="media/image2.png"/><Relationship Id="rId12" Type="http://schemas.openxmlformats.org/officeDocument/2006/relationships/image" Target="media/image3.png"/><Relationship Id="rId13" Type="http://schemas.openxmlformats.org/officeDocument/2006/relationships/image" Target="media/image4.png"/><Relationship Id="rId14" Type="http://schemas.openxmlformats.org/officeDocument/2006/relationships/image" Target="media/image5.png"/><Relationship Id="rId15" Type="http://schemas.openxmlformats.org/officeDocument/2006/relationships/image" Target="media/image6.png"/><Relationship Id="rId16" Type="http://schemas.openxmlformats.org/officeDocument/2006/relationships/image" Target="media/image7.png"/><Relationship Id="rId17" Type="http://schemas.openxmlformats.org/officeDocument/2006/relationships/hyperlink" Target="https://github.com/deepseek-ai/deepseek-harness/blob/master/docs/architecture.md" TargetMode="External"/><Relationship Id="rId18" Type="http://schemas.openxmlformats.org/officeDocument/2006/relationships/hyperlink" Target="https://openai.com/codex/" TargetMode="External"/><Relationship Id="rId19" Type="http://schemas.openxmlformats.org/officeDocument/2006/relationships/hyperlink" Target="https://docs.cursor.com/en/agent/overview" TargetMode="External"/><Relationship Id="rId20" Type="http://schemas.openxmlformats.org/officeDocument/2006/relationships/hyperlink" Target="https://docs.cursor.com/en/agent/tools" TargetMode="External"/><Relationship Id="rId21" Type="http://schemas.openxmlformats.org/officeDocument/2006/relationships/hyperlink" Target="https://docs.anthropic.com/en/docs/claude-code/cli-usage" TargetMode="External"/><Relationship Id="rId22" Type="http://schemas.openxmlformats.org/officeDocument/2006/relationships/hyperlink" Target="https://www.workbuddy.cn/docs/workbuddy/From-Beginner-to-Expert-Guide/Product-Guide" TargetMode="External"/><Relationship Id="rId23" Type="http://schemas.openxmlformats.org/officeDocument/2006/relationships/hyperlink" Target="https://open.workbuddy.cn/docs/buddy-app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Harness 与 DeepSeek Harness 普通用户指南</dc:title>
  <dc:subject>面向普通业务用户的 Agent Harness 原理、产品选择与 Harness Desktop 使用说明</dc:subject>
  <dc:creator>OpenAI Codex</dc:creator>
  <cp:keywords>Harness, DeepSeek Harness, Agent, Model, Cordis, Harness Desktop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