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F7D07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0" w:firstLine="0" w:firstLineChars="0"/>
        <w:jc w:val="center"/>
        <w:textAlignment w:val="baseline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pacing w:val="-4"/>
          <w:sz w:val="32"/>
          <w:szCs w:val="32"/>
        </w:rPr>
        <w:t>考虑送端碳排不确定性的区域电网</w:t>
      </w:r>
    </w:p>
    <w:p w14:paraId="7B2FB3C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0" w:firstLine="0" w:firstLineChars="0"/>
        <w:jc w:val="center"/>
        <w:textAlignment w:val="baseline"/>
        <w:rPr>
          <w:rFonts w:ascii="Arial"/>
          <w:sz w:val="21"/>
        </w:rPr>
      </w:pPr>
      <w:r>
        <w:rPr>
          <w:rFonts w:hint="eastAsia" w:ascii="黑体" w:hAnsi="黑体" w:eastAsia="黑体" w:cs="黑体"/>
          <w:b/>
          <w:bCs/>
          <w:spacing w:val="-5"/>
          <w:sz w:val="32"/>
          <w:szCs w:val="32"/>
        </w:rPr>
        <w:t>鲁棒碳流追踪与低碳调度</w:t>
      </w:r>
    </w:p>
    <w:p w14:paraId="456C1FC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firstLine="0" w:firstLineChars="0"/>
        <w:jc w:val="both"/>
        <w:textAlignment w:val="baseline"/>
        <w:rPr>
          <w:rFonts w:hint="eastAsia"/>
        </w:rPr>
      </w:pPr>
      <w:r>
        <w:rPr>
          <w:rFonts w:hint="eastAsia" w:ascii="黑体" w:hAnsi="黑体" w:eastAsia="黑体" w:cs="黑体"/>
          <w:b/>
          <w:bCs/>
          <w:spacing w:val="-8"/>
        </w:rPr>
        <w:t>摘</w:t>
      </w:r>
      <w:r>
        <w:rPr>
          <w:rFonts w:hint="eastAsia" w:ascii="黑体" w:hAnsi="黑体" w:eastAsia="黑体" w:cs="黑体"/>
          <w:spacing w:val="-8"/>
        </w:rPr>
        <w:t xml:space="preserve">  </w:t>
      </w:r>
      <w:r>
        <w:rPr>
          <w:rFonts w:hint="eastAsia" w:ascii="黑体" w:hAnsi="黑体" w:eastAsia="黑体" w:cs="黑体"/>
          <w:b/>
          <w:bCs/>
          <w:spacing w:val="-8"/>
        </w:rPr>
        <w:t>要</w:t>
      </w:r>
      <w:r>
        <w:rPr>
          <w:rFonts w:hint="eastAsia" w:ascii="黑体" w:hAnsi="黑体" w:eastAsia="黑体" w:cs="黑体"/>
          <w:spacing w:val="-8"/>
        </w:rPr>
        <w:t xml:space="preserve"> </w:t>
      </w:r>
      <w:r>
        <w:rPr>
          <w:spacing w:val="-8"/>
        </w:rPr>
        <w:t xml:space="preserve"> </w:t>
      </w:r>
      <w:r>
        <w:rPr>
          <w:rFonts w:hint="eastAsia"/>
        </w:rPr>
        <w:t xml:space="preserve">针对某省八区域电网的多源计量口径差异、跨区碳责任划分、五年项目约束耦合及省外送端碳因子波动，本文构建由数据调和、碳流追踪、项目组合和不确定性分析组成的模型链，全部计算均可由程序复现。问题一在守恒约束下进行标准化 Huber 数据调和，并将年度工程线损作为软先验。23 项异常仅作诊断标记，稳健目标为 291.0288，最大平衡残差为 </w:t>
      </w:r>
      <w:r>
        <w:rPr>
          <w:rFonts w:hint="eastAsia"/>
          <w:lang w:eastAsia="zh-CN"/>
        </w:rPr>
        <w:t>4.09</w:t>
      </w:r>
      <w:r>
        <w:rPr>
          <w:rFonts w:hint="eastAsia"/>
        </w:rPr>
        <w:t xml:space="preserve"> × 10</w:t>
      </w:r>
      <w:r>
        <w:rPr>
          <w:rFonts w:hint="eastAsia"/>
          <w:vertAlign w:val="superscript"/>
          <w:lang w:val="en-US" w:eastAsia="zh-CN"/>
        </w:rPr>
        <w:t>-</w:t>
      </w:r>
      <w:r>
        <w:rPr>
          <w:rFonts w:hint="eastAsia"/>
          <w:vertAlign w:val="superscript"/>
        </w:rPr>
        <w:t>13</w:t>
      </w:r>
      <w:r>
        <w:rPr>
          <w:rFonts w:hint="eastAsia"/>
        </w:rPr>
        <w:t xml:space="preserve"> GWh，E05 线损估计为 0.01675。问题二逐月求解比例共享碳势，并通过 500 次条件参数自举传播量测误差。每次自举均先生成伪观测， 再完整执行调和与碳流计算。A4、A5 年均碳强度分别为 0.62399、0. 15217 kgCO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/kWh，A4→ A3 碳流点估计为 4366.34 kt，95% 条件区间为 [4356.76, 4419.04] kt。</w:t>
      </w:r>
      <w:r>
        <w:rPr>
          <w:rFonts w:hint="eastAsia"/>
          <w:i/>
          <w:iCs/>
          <w:lang w:eastAsia="zh-CN"/>
        </w:rPr>
        <w:t>λ</w:t>
      </w:r>
      <w:r>
        <w:rPr>
          <w:rFonts w:hint="eastAsia"/>
        </w:rPr>
        <w:t xml:space="preserve"> = 0.5 与所构造的 Shapley分配一致，但这来自特征函数的结构恒等式，不能单独证明该权重在政策上最公平。问题三按缺供、投资和最大相对区域超额建立词典序 ε-约束。最低投资 </w:t>
      </w:r>
      <w:r>
        <w:rPr>
          <w:rFonts w:hint="eastAsia"/>
          <w:i/>
          <w:iCs/>
        </w:rPr>
        <w:t>C</w:t>
      </w:r>
      <w:r>
        <w:rPr>
          <w:rFonts w:hint="eastAsia"/>
          <w:i/>
          <w:iCs/>
          <w:vertAlign w:val="superscript"/>
          <w:lang w:val="en-US" w:eastAsia="zh-CN"/>
        </w:rPr>
        <w:t>*</w:t>
      </w:r>
      <w:r>
        <w:rPr>
          <w:rFonts w:hint="eastAsia"/>
        </w:rPr>
        <w:t xml:space="preserve"> = 964.970 百万元；推荐 </w:t>
      </w:r>
      <w:r>
        <w:rPr>
          <w:rFonts w:hint="eastAsia"/>
          <w:i/>
          <w:iCs/>
        </w:rPr>
        <w:t>ε</w:t>
      </w:r>
      <w:r>
        <w:rPr>
          <w:rFonts w:hint="eastAsia"/>
        </w:rPr>
        <w:t xml:space="preserve"> =  1%，对应投资 974.603 百万元，加权基线的最大相对超额由 8.281%降至 7.611%，全部硬约束均通过独立回代。问题四分别检验设计集与统一 Γ 集，并区分软违约和硬可行。完整 Γ = 1 下的最小不可避免缺口为 14.8488 kt，最大硬可行半径 </w:t>
      </w:r>
      <w:r>
        <w:rPr>
          <w:rFonts w:hint="eastAsia"/>
          <w:b/>
          <w:bCs/>
          <w:i/>
          <w:iCs/>
          <w:lang w:eastAsia="zh-CN"/>
        </w:rPr>
        <w:t>τ</w:t>
      </w:r>
      <w:r>
        <w:rPr>
          <w:rFonts w:hint="eastAsia"/>
          <w:i/>
          <w:iCs/>
          <w:vertAlign w:val="superscript"/>
          <w:lang w:val="en-US" w:eastAsia="zh-CN"/>
        </w:rPr>
        <w:t>*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>= 0.953003；</w:t>
      </w:r>
      <w:r>
        <w:rPr>
          <w:rFonts w:hint="eastAsia"/>
          <w:lang w:eastAsia="zh-CN"/>
        </w:rPr>
        <w:t>四条典型路径均未给定概率</w:t>
      </w:r>
      <w:r>
        <w:rPr>
          <w:rFonts w:hint="eastAsia"/>
        </w:rPr>
        <w:t>的非预见最小最大相对遗憾为 141.595%，且均满足硬约束。滚动比较采用同一状态下的剩余期目标，2028 、2029 年分别改善 307.566、 434.874 百万元。该改善包含避免的违约罚，不能等同于投资节省。</w:t>
      </w:r>
    </w:p>
    <w:p w14:paraId="2C93962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  <w:r>
        <w:rPr>
          <w:rFonts w:hint="eastAsia" w:ascii="黑体" w:hAnsi="黑体" w:eastAsia="黑体" w:cs="黑体"/>
          <w:b/>
          <w:bCs/>
          <w:spacing w:val="-1"/>
        </w:rPr>
        <w:t>关键词：</w:t>
      </w:r>
      <w:r>
        <w:t>数据调和；碳排放流；责任共担；项目组合优化；预算鲁棒优化</w:t>
      </w:r>
    </w:p>
    <w:sdt>
      <w:sdt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id w:val="14745524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896AE8D">
          <w:pPr>
            <w:keepNext w:val="0"/>
            <w:keepLines w:val="0"/>
            <w:pageBreakBefore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Style w:val="17"/>
            </w:rPr>
            <w:t>目录</w:t>
          </w:r>
        </w:p>
        <w:p w14:paraId="13FD947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_Toc22847 </w:instrText>
          </w:r>
          <w:r>
            <w:fldChar w:fldCharType="separate"/>
          </w:r>
          <w:r>
            <w:rPr>
              <w:rFonts w:hint="eastAsia"/>
            </w:rPr>
            <w:t>摘  要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</w:p>
        <w:p w14:paraId="7D963A21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_Toc18207 </w:instrText>
          </w:r>
          <w:r>
            <w:fldChar w:fldCharType="separate"/>
          </w:r>
          <w:r>
            <w:rPr>
              <w:rFonts w:hint="eastAsia"/>
            </w:rPr>
            <w:t>关键词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</w:p>
        <w:p w14:paraId="01DCD45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_Toc16553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t>问题重述</w:t>
          </w:r>
          <w:r>
            <w:tab/>
          </w:r>
          <w:r>
            <w:fldChar w:fldCharType="begin"/>
          </w:r>
          <w:r>
            <w:instrText xml:space="preserve"> PAGEREF _Toc16553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F8BA8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_Toc30331 </w:instrText>
          </w:r>
          <w:r>
            <w:fldChar w:fldCharType="separate"/>
          </w:r>
          <w:r>
            <w:rPr>
              <w:rFonts w:hint="eastAsia"/>
            </w:rPr>
            <w:t xml:space="preserve">二、 </w:t>
          </w:r>
          <w:r>
            <w:t>问题分析与技术路线</w:t>
          </w:r>
          <w:r>
            <w:tab/>
          </w:r>
          <w:r>
            <w:fldChar w:fldCharType="begin"/>
          </w:r>
          <w:r>
            <w:instrText xml:space="preserve"> PAGEREF _Toc30331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C278BA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_Toc27105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t>基本假设与符号</w:t>
          </w:r>
          <w:r>
            <w:tab/>
          </w:r>
          <w:r>
            <w:fldChar w:fldCharType="begin"/>
          </w:r>
          <w:r>
            <w:instrText xml:space="preserve"> PAGEREF _Toc27105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B016B6A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_Toc7306 </w:instrText>
          </w:r>
          <w:r>
            <w:fldChar w:fldCharType="separate"/>
          </w:r>
          <w:r>
            <w:rPr>
              <w:rFonts w:hint="default"/>
            </w:rPr>
            <w:t xml:space="preserve">3.1 </w:t>
          </w:r>
          <w:r>
            <w:t>基本假设</w:t>
          </w:r>
          <w:r>
            <w:tab/>
          </w:r>
          <w:r>
            <w:fldChar w:fldCharType="begin"/>
          </w:r>
          <w:r>
            <w:instrText xml:space="preserve"> PAGEREF _Toc7306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77F51C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_Toc15277 </w:instrText>
          </w:r>
          <w:r>
            <w:fldChar w:fldCharType="separate"/>
          </w:r>
          <w:r>
            <w:rPr>
              <w:rFonts w:hint="default"/>
            </w:rPr>
            <w:t xml:space="preserve">3.2 </w:t>
          </w:r>
          <w:r>
            <w:t>主要符号</w:t>
          </w:r>
          <w:r>
            <w:tab/>
          </w:r>
          <w:r>
            <w:fldChar w:fldCharType="begin"/>
          </w:r>
          <w:r>
            <w:instrText xml:space="preserve"> PAGEREF _Toc15277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69D4DA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_Toc24542 </w:instrText>
          </w:r>
          <w:r>
            <w:fldChar w:fldCharType="separate"/>
          </w:r>
          <w:r>
            <w:rPr>
              <w:rFonts w:hint="eastAsia"/>
            </w:rPr>
            <w:t xml:space="preserve">四、 </w:t>
          </w:r>
          <w:r>
            <w:t>问题一：多源电量一致性校正</w:t>
          </w:r>
          <w:r>
            <w:tab/>
          </w:r>
          <w:r>
            <w:fldChar w:fldCharType="begin"/>
          </w:r>
          <w:r>
            <w:instrText xml:space="preserve"> PAGEREF _Toc24542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DA3341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_Toc14767 </w:instrText>
          </w:r>
          <w:r>
            <w:fldChar w:fldCharType="separate"/>
          </w:r>
          <w:r>
            <w:rPr>
              <w:rFonts w:hint="default"/>
            </w:rPr>
            <w:t xml:space="preserve">4.1 </w:t>
          </w:r>
          <w:r>
            <w:t>异常识别</w:t>
          </w:r>
          <w:r>
            <w:tab/>
          </w:r>
          <w:r>
            <w:fldChar w:fldCharType="begin"/>
          </w:r>
          <w:r>
            <w:instrText xml:space="preserve"> PAGEREF _Toc14767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AFD461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_Toc14205 </w:instrText>
          </w:r>
          <w:r>
            <w:fldChar w:fldCharType="separate"/>
          </w:r>
          <w:r>
            <w:rPr>
              <w:rFonts w:hint="default"/>
            </w:rPr>
            <w:t xml:space="preserve">4.2 </w:t>
          </w:r>
          <w:r>
            <w:t>守恒约束下的标准化 Huber 调和</w:t>
          </w:r>
          <w:r>
            <w:tab/>
          </w:r>
          <w:r>
            <w:fldChar w:fldCharType="begin"/>
          </w:r>
          <w:r>
            <w:instrText xml:space="preserve"> PAGEREF _Toc14205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DB5254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_Toc16639 </w:instrText>
          </w:r>
          <w:r>
            <w:fldChar w:fldCharType="separate"/>
          </w:r>
          <w:r>
            <w:rPr>
              <w:rFonts w:hint="default"/>
            </w:rPr>
            <w:t xml:space="preserve">4.3 </w:t>
          </w:r>
          <w:r>
            <w:t>校正结果</w:t>
          </w:r>
          <w:r>
            <w:tab/>
          </w:r>
          <w:r>
            <w:fldChar w:fldCharType="begin"/>
          </w:r>
          <w:r>
            <w:instrText xml:space="preserve"> PAGEREF _Toc16639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6A44D0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_Toc28070 </w:instrText>
          </w:r>
          <w:r>
            <w:fldChar w:fldCharType="separate"/>
          </w:r>
          <w:r>
            <w:rPr>
              <w:rFonts w:hint="eastAsia"/>
            </w:rPr>
            <w:t xml:space="preserve">五、 </w:t>
          </w:r>
          <w:r>
            <w:t>问题二：碳流追踪与责任分担</w:t>
          </w:r>
          <w:r>
            <w:tab/>
          </w:r>
          <w:r>
            <w:fldChar w:fldCharType="begin"/>
          </w:r>
          <w:r>
            <w:instrText xml:space="preserve"> PAGEREF _Toc28070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67C3EE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_Toc22107 </w:instrText>
          </w:r>
          <w:r>
            <w:fldChar w:fldCharType="separate"/>
          </w:r>
          <w:r>
            <w:rPr>
              <w:rFonts w:hint="default"/>
            </w:rPr>
            <w:t xml:space="preserve">5.1 </w:t>
          </w:r>
          <w:r>
            <w:t>节点碳势</w:t>
          </w:r>
          <w:r>
            <w:tab/>
          </w:r>
          <w:r>
            <w:fldChar w:fldCharType="begin"/>
          </w:r>
          <w:r>
            <w:instrText xml:space="preserve"> PAGEREF _Toc22107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06A4D9D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_Toc12720 </w:instrText>
          </w:r>
          <w:r>
            <w:fldChar w:fldCharType="separate"/>
          </w:r>
          <w:r>
            <w:rPr>
              <w:rFonts w:hint="default"/>
            </w:rPr>
            <w:t xml:space="preserve">5.2 </w:t>
          </w:r>
          <w:r>
            <w:t>三种责任口径与Shapley</w:t>
          </w:r>
          <w:r>
            <w:tab/>
          </w:r>
          <w:r>
            <w:fldChar w:fldCharType="begin"/>
          </w:r>
          <w:r>
            <w:instrText xml:space="preserve"> PAGEREF _Toc12720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0B4CD1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_Toc31494 </w:instrText>
          </w:r>
          <w:r>
            <w:fldChar w:fldCharType="separate"/>
          </w:r>
          <w:r>
            <w:rPr>
              <w:rFonts w:hint="default"/>
            </w:rPr>
            <w:t xml:space="preserve">5.3 </w:t>
          </w:r>
          <w:r>
            <w:t>追踪结果</w:t>
          </w:r>
          <w:r>
            <w:tab/>
          </w:r>
          <w:r>
            <w:fldChar w:fldCharType="begin"/>
          </w:r>
          <w:r>
            <w:instrText xml:space="preserve"> PAGEREF _Toc31494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0DB8E0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_Toc31217 </w:instrText>
          </w:r>
          <w:r>
            <w:fldChar w:fldCharType="separate"/>
          </w:r>
          <w:r>
            <w:rPr>
              <w:rFonts w:hint="default"/>
            </w:rPr>
            <w:t xml:space="preserve">5.4 </w:t>
          </w:r>
          <w:r>
            <w:rPr>
              <w:lang w:val="en-US" w:eastAsia="zh-CN"/>
            </w:rPr>
            <w:t>条件参数自举与下游触限风险</w:t>
          </w:r>
          <w:r>
            <w:tab/>
          </w:r>
          <w:r>
            <w:fldChar w:fldCharType="begin"/>
          </w:r>
          <w:r>
            <w:instrText xml:space="preserve"> PAGEREF _Toc31217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EB7240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_Toc26010 </w:instrText>
          </w:r>
          <w:r>
            <w:fldChar w:fldCharType="separate"/>
          </w:r>
          <w:r>
            <w:rPr>
              <w:rFonts w:hint="eastAsia"/>
            </w:rPr>
            <w:t xml:space="preserve">六、 </w:t>
          </w:r>
          <w:r>
            <w:t>问题三：区域碳预算与五年项目组合</w:t>
          </w:r>
          <w:r>
            <w:tab/>
          </w:r>
          <w:r>
            <w:fldChar w:fldCharType="begin"/>
          </w:r>
          <w:r>
            <w:instrText xml:space="preserve"> PAGEREF _Toc26010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98D0C87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_Toc15823 </w:instrText>
          </w:r>
          <w:r>
            <w:fldChar w:fldCharType="separate"/>
          </w:r>
          <w:r>
            <w:rPr>
              <w:rFonts w:hint="default"/>
            </w:rPr>
            <w:t xml:space="preserve">6.1 </w:t>
          </w:r>
          <w:r>
            <w:t>预算分解</w:t>
          </w:r>
          <w:r>
            <w:tab/>
          </w:r>
          <w:r>
            <w:fldChar w:fldCharType="begin"/>
          </w:r>
          <w:r>
            <w:instrText xml:space="preserve"> PAGEREF _Toc15823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E0D3ABD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_Toc9806 </w:instrText>
          </w:r>
          <w:r>
            <w:fldChar w:fldCharType="separate"/>
          </w:r>
          <w:r>
            <w:rPr>
              <w:rFonts w:hint="default"/>
            </w:rPr>
            <w:t xml:space="preserve">6.2 </w:t>
          </w:r>
          <w:r>
            <w:t>投资—运行耦合</w:t>
          </w:r>
          <w:r>
            <w:rPr>
              <w:rFonts w:hint="default" w:ascii="Times New Roman" w:hAnsi="Times New Roman" w:cs="Times New Roman"/>
            </w:rPr>
            <w:t>MILP</w:t>
          </w:r>
          <w:r>
            <w:tab/>
          </w:r>
          <w:r>
            <w:fldChar w:fldCharType="begin"/>
          </w:r>
          <w:r>
            <w:instrText xml:space="preserve"> PAGEREF _Toc9806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1FFD79B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_Toc4458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spacing w:val="-1"/>
              <w:szCs w:val="28"/>
              <w:lang w:val="en-US" w:eastAsia="zh-CN"/>
            </w:rPr>
            <w:t xml:space="preserve">6.3 </w:t>
          </w:r>
          <w:r>
            <w:t>词典序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default" w:ascii="Times New Roman" w:hAnsi="Times New Roman" w:cs="Times New Roman"/>
            </w:rPr>
            <w:t>ε</w:t>
          </w:r>
          <w:r>
            <w:rPr>
              <w:rFonts w:hint="eastAsia" w:ascii="Times New Roman" w:hAnsi="Times New Roman" w:cs="Times New Roman"/>
              <w:lang w:val="en-US" w:eastAsia="zh-CN"/>
            </w:rPr>
            <w:t>-</w:t>
          </w:r>
          <w:r>
            <w:rPr>
              <w:rFonts w:hint="default" w:ascii="Times New Roman" w:hAnsi="Times New Roman" w:cs="Times New Roman"/>
            </w:rPr>
            <w:t>Pareto</w:t>
          </w:r>
          <w:r>
            <w:rPr>
              <w:rFonts w:hint="eastAsia" w:ascii="Times New Roman" w:hAnsi="Times New Roman" w:cs="Times New Roman"/>
              <w:lang w:val="en-US" w:eastAsia="zh-CN"/>
            </w:rPr>
            <w:t xml:space="preserve"> </w:t>
          </w:r>
          <w:r>
            <w:t>结果</w:t>
          </w:r>
          <w:r>
            <w:tab/>
          </w:r>
          <w:r>
            <w:fldChar w:fldCharType="begin"/>
          </w:r>
          <w:r>
            <w:instrText xml:space="preserve"> PAGEREF _Toc4458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0F87C03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_Toc14973 </w:instrText>
          </w:r>
          <w:r>
            <w:fldChar w:fldCharType="separate"/>
          </w:r>
          <w:r>
            <w:rPr>
              <w:rFonts w:hint="eastAsia"/>
            </w:rPr>
            <w:t xml:space="preserve">七、 </w:t>
          </w:r>
          <w:r>
            <w:t>问题四：送端碳不确定与鲁棒滚动</w:t>
          </w:r>
          <w:r>
            <w:tab/>
          </w:r>
          <w:r>
            <w:fldChar w:fldCharType="begin"/>
          </w:r>
          <w:r>
            <w:instrText xml:space="preserve"> PAGEREF _Toc14973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F3C90F7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_Toc29054 </w:instrText>
          </w:r>
          <w:r>
            <w:fldChar w:fldCharType="separate"/>
          </w:r>
          <w:r>
            <w:rPr>
              <w:rFonts w:hint="default"/>
            </w:rPr>
            <w:t xml:space="preserve">7.1 </w:t>
          </w:r>
          <w:r>
            <w:t>冲击如何传到消费侧</w:t>
          </w:r>
          <w:r>
            <w:tab/>
          </w:r>
          <w:r>
            <w:fldChar w:fldCharType="begin"/>
          </w:r>
          <w:r>
            <w:instrText xml:space="preserve"> PAGEREF _Toc29054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ECA15D3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_Toc9069 </w:instrText>
          </w:r>
          <w:r>
            <w:fldChar w:fldCharType="separate"/>
          </w:r>
          <w:r>
            <w:rPr>
              <w:rFonts w:hint="default"/>
            </w:rPr>
            <w:t xml:space="preserve">7.2 </w:t>
          </w:r>
          <w:r>
            <w:t>压力测试与双口径 POR</w:t>
          </w:r>
          <w:r>
            <w:tab/>
          </w:r>
          <w:r>
            <w:fldChar w:fldCharType="begin"/>
          </w:r>
          <w:r>
            <w:instrText xml:space="preserve"> PAGEREF _Toc9069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7854B1A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_Toc21759 </w:instrText>
          </w:r>
          <w:r>
            <w:fldChar w:fldCharType="separate"/>
          </w:r>
          <w:r>
            <w:rPr>
              <w:rFonts w:hint="default"/>
            </w:rPr>
            <w:t xml:space="preserve">7.3 </w:t>
          </w:r>
          <w:r>
            <w:t>硬可行半径与恢复边界</w:t>
          </w:r>
          <w:r>
            <w:tab/>
          </w:r>
          <w:r>
            <w:fldChar w:fldCharType="begin"/>
          </w:r>
          <w:r>
            <w:instrText xml:space="preserve"> PAGEREF _Toc21759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1354593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_Toc29849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spacing w:val="-3"/>
              <w:szCs w:val="28"/>
            </w:rPr>
            <w:t xml:space="preserve">7.4 </w:t>
          </w:r>
          <w:r>
            <w:t>四路径非预见最小最大相对遗憾</w:t>
          </w:r>
          <w:r>
            <w:tab/>
          </w:r>
          <w:r>
            <w:fldChar w:fldCharType="begin"/>
          </w:r>
          <w:r>
            <w:instrText xml:space="preserve"> PAGEREF _Toc29849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8454312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_Toc6538 </w:instrText>
          </w:r>
          <w:r>
            <w:fldChar w:fldCharType="separate"/>
          </w:r>
          <w:r>
            <w:rPr>
              <w:rFonts w:hint="default"/>
            </w:rPr>
            <w:t xml:space="preserve">7.5 </w:t>
          </w:r>
          <w:r>
            <w:t>滚动 objective-to-go 的比较口径</w:t>
          </w:r>
          <w:r>
            <w:tab/>
          </w:r>
          <w:r>
            <w:fldChar w:fldCharType="begin"/>
          </w:r>
          <w:r>
            <w:instrText xml:space="preserve"> PAGEREF _Toc6538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F5993F0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_Toc32108 </w:instrText>
          </w:r>
          <w:r>
            <w:fldChar w:fldCharType="separate"/>
          </w:r>
          <w:r>
            <w:rPr>
              <w:rFonts w:hint="eastAsia"/>
            </w:rPr>
            <w:t xml:space="preserve">八、 </w:t>
          </w:r>
          <w:r>
            <w:t>问题五：决策咨询报告</w:t>
          </w:r>
          <w:r>
            <w:tab/>
          </w:r>
          <w:r>
            <w:fldChar w:fldCharType="begin"/>
          </w:r>
          <w:r>
            <w:instrText xml:space="preserve"> PAGEREF _Toc32108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EFC29D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_Toc32731 </w:instrText>
          </w:r>
          <w:r>
            <w:fldChar w:fldCharType="separate"/>
          </w:r>
          <w:r>
            <w:rPr>
              <w:rFonts w:hint="eastAsia"/>
            </w:rPr>
            <w:t xml:space="preserve">九、 </w:t>
          </w:r>
          <w:r>
            <w:t>模型评价、局限性与结论</w:t>
          </w:r>
          <w:r>
            <w:tab/>
          </w:r>
          <w:r>
            <w:fldChar w:fldCharType="begin"/>
          </w:r>
          <w:r>
            <w:instrText xml:space="preserve"> PAGEREF _Toc32731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0AA948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_Toc15296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_Toc15296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46AB8CA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00" w:lineRule="auto"/>
            <w:ind w:left="0" w:leftChars="0" w:firstLine="0" w:firstLineChars="0"/>
            <w:textAlignment w:val="baseline"/>
          </w:pPr>
          <w:r>
            <w:fldChar w:fldCharType="begin"/>
          </w:r>
          <w:r>
            <w:instrText xml:space="preserve"> HYPERLINK \l _Toc5673 </w:instrText>
          </w:r>
          <w:r>
            <w:fldChar w:fldCharType="separate"/>
          </w:r>
          <w:r>
            <w:rPr>
              <w:rStyle w:val="16"/>
              <w:rFonts w:hint="eastAsia"/>
              <w:lang w:val="en-US" w:eastAsia="zh-CN"/>
            </w:rPr>
            <w:t>附件1</w:t>
          </w:r>
          <w:r>
            <w:tab/>
          </w:r>
          <w:r>
            <w:fldChar w:fldCharType="begin"/>
          </w:r>
          <w:r>
            <w:instrText xml:space="preserve"> PAGEREF _Toc5673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B154A4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firstLine="0" w:firstLineChars="0"/>
            <w:textAlignment w:val="baseline"/>
            <w:rPr>
              <w:rFonts w:ascii="Times New Roman" w:hAnsi="Times New Roman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fldChar w:fldCharType="end"/>
          </w:r>
        </w:p>
      </w:sdtContent>
    </w:sdt>
    <w:p w14:paraId="29853645">
      <w:pPr>
        <w:pStyle w:val="2"/>
        <w:keepNext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6553"/>
      <w:r>
        <w:t>问题重述</w:t>
      </w:r>
      <w:bookmarkEnd w:id="0"/>
    </w:p>
    <w:p w14:paraId="18A68AEF">
      <w:pPr>
        <w:bidi w:val="0"/>
      </w:pPr>
      <w:r>
        <w:t>某省一次能源不足， 电力消费对省外输入存在刚性依赖。省内八个区域（记为A1, . . . , A8）产业结构、电源结构与发展阶段分化明显， 区域间由11条通道互联。电力来源的碳排放强度差异大，区域用电的碳责任不能只按本地发电核算。2026</w:t>
      </w:r>
      <w:r>
        <w:rPr>
          <w:rFonts w:hint="eastAsia"/>
          <w:lang w:val="en-US" w:eastAsia="zh-CN"/>
        </w:rPr>
        <w:t>至</w:t>
      </w:r>
      <w:r>
        <w:t>2030年将滚动实施工业节能、建筑改造、交通电气化、分布式光伏及通道升级等 35 个候选项目，项目之间存在资源竞争、互斥与协同。与此同时， 省外送端电源结构随季节与供需变化，输入电的碳因子并非常数。</w:t>
      </w:r>
    </w:p>
    <w:p w14:paraId="7C77ACDD">
      <w:pPr>
        <w:bidi w:val="0"/>
      </w:pPr>
      <w:r>
        <w:t>附件给出2025年分月监测、年度汇总、通道工程参数、排放因子、五年双控约束、项目库以及送端碳因子区间与情景。数据来自不同监测系统， 存在缺失、口径差与个别</w:t>
      </w:r>
      <w:bookmarkStart w:id="1" w:name="bookmark1"/>
      <w:bookmarkEnd w:id="1"/>
      <w:r>
        <w:t>物理上不合理的记录。题面能量平衡为</w:t>
      </w:r>
    </w:p>
    <w:p w14:paraId="75DE1BD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550" w:lineRule="exact"/>
        <w:ind w:left="0" w:leftChars="0" w:firstLine="0" w:firstLineChars="0"/>
        <w:jc w:val="both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G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i,t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i,t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j≠i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T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j,i,t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D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i,t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j≠i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T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i,j,t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L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i,t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 xml:space="preserve"> ,#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(1)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77A619CE">
      <w:pPr>
        <w:bidi w:val="0"/>
      </w:pPr>
      <w:r>
        <w:t xml:space="preserve">其中 </w:t>
      </w:r>
      <w:r>
        <w:rPr>
          <w:i/>
          <w:iCs/>
        </w:rPr>
        <w:t>G</w:t>
      </w:r>
      <w:r>
        <w:t>为本地发电，</w:t>
      </w:r>
      <w:r>
        <w:rPr>
          <w:i/>
          <w:iCs/>
        </w:rPr>
        <w:t>I</w:t>
      </w:r>
      <w:r>
        <w:t>为省外输入，</w:t>
      </w:r>
      <w:r>
        <w:rPr>
          <w:i/>
          <w:iCs/>
        </w:rPr>
        <w:t>T</w:t>
      </w:r>
      <w:r>
        <w:t>为区域间输电，</w:t>
      </w:r>
      <w:r>
        <w:rPr>
          <w:i/>
          <w:iCs/>
        </w:rPr>
        <w:t>D</w:t>
      </w:r>
      <w:r>
        <w:t>为终端用电，</w:t>
      </w:r>
      <w:r>
        <w:rPr>
          <w:i/>
          <w:iCs/>
        </w:rPr>
        <w:t>L</w:t>
      </w:r>
      <w:r>
        <w:t>为损耗；因测量误差，</w:t>
      </w:r>
      <w:r>
        <w:rPr>
          <w:rFonts w:hint="eastAsia"/>
          <w:lang w:val="en-US" w:eastAsia="zh-CN"/>
        </w:rPr>
        <w:t>公式</w:t>
      </w:r>
      <w:r>
        <w:t>(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t>1</w:t>
      </w:r>
      <w:r>
        <w:fldChar w:fldCharType="end"/>
      </w:r>
      <w:r>
        <w:t>)在原始数据上并不成立。电量单位为</w:t>
      </w:r>
      <w:r>
        <w:rPr>
          <w:b w:val="0"/>
          <w:bCs w:val="0"/>
          <w:i w:val="0"/>
          <w:iCs w:val="0"/>
        </w:rPr>
        <w:t>GWh</w:t>
      </w:r>
      <w:r>
        <w:t>，与排放因子（</w:t>
      </w:r>
      <w:r>
        <w:rPr>
          <w:b w:val="0"/>
          <w:bCs w:val="0"/>
          <w:i/>
          <w:iCs/>
        </w:rPr>
        <w:t>kgCO</w:t>
      </w:r>
      <w:r>
        <w:rPr>
          <w:b w:val="0"/>
          <w:bCs w:val="0"/>
          <w:i/>
          <w:iCs/>
          <w:vertAlign w:val="subscript"/>
        </w:rPr>
        <w:t>2</w:t>
      </w:r>
      <w:r>
        <w:rPr>
          <w:b w:val="0"/>
          <w:bCs w:val="0"/>
          <w:i/>
          <w:iCs/>
        </w:rPr>
        <w:t>/kWh</w:t>
      </w:r>
      <w:r>
        <w:rPr>
          <w:b w:val="0"/>
          <w:bCs w:val="0"/>
        </w:rPr>
        <w:t>）相乘得碳排放（ktCO</w:t>
      </w:r>
      <w:r>
        <w:rPr>
          <w:b w:val="0"/>
          <w:bCs w:val="0"/>
          <w:vertAlign w:val="subscript"/>
        </w:rPr>
        <w:t>2</w:t>
      </w:r>
      <w:r>
        <w:rPr>
          <w:b w:val="0"/>
          <w:bCs w:val="0"/>
        </w:rPr>
        <w:t>）</w:t>
      </w:r>
      <w:r>
        <w:t>。</w:t>
      </w:r>
    </w:p>
    <w:p w14:paraId="63E67D70">
      <w:pPr>
        <w:bidi w:val="0"/>
      </w:pPr>
      <w:r>
        <w:t>需要依次回答</w:t>
      </w:r>
      <w:r>
        <w:rPr>
          <w:rFonts w:hint="eastAsia"/>
          <w:lang w:val="en-US" w:eastAsia="zh-CN"/>
        </w:rPr>
        <w:t>如下</w:t>
      </w:r>
      <w:r>
        <w:t>五个问题：</w:t>
      </w:r>
    </w:p>
    <w:p w14:paraId="51BD9641">
      <w:pPr>
        <w:numPr>
          <w:ilvl w:val="0"/>
          <w:numId w:val="2"/>
        </w:numPr>
        <w:bidi w:val="0"/>
      </w:pPr>
      <w:r>
        <w:t>识别并校正多源电量，估计通道损耗，评价观测影响度；</w:t>
      </w:r>
    </w:p>
    <w:p w14:paraId="7D709328">
      <w:pPr>
        <w:numPr>
          <w:ilvl w:val="0"/>
          <w:numId w:val="2"/>
        </w:numPr>
        <w:bidi w:val="0"/>
      </w:pPr>
      <w:r>
        <w:t>追踪碳流，给出逐月终端碳强度，并按发电地、用电地及兼顾二者的口径分担责任；</w:t>
      </w:r>
    </w:p>
    <w:p w14:paraId="0A4F48DA">
      <w:pPr>
        <w:numPr>
          <w:ilvl w:val="0"/>
          <w:numId w:val="2"/>
        </w:numPr>
        <w:bidi w:val="0"/>
      </w:pPr>
      <w:r>
        <w:t>在供能与全省碳上限下安排五年项目，</w:t>
      </w:r>
      <w:r>
        <w:rPr>
          <w:rFonts w:hint="eastAsia"/>
          <w:lang w:eastAsia="zh-CN"/>
        </w:rPr>
        <w:t>兼顾投资成本与区域负担</w:t>
      </w:r>
      <w:r>
        <w:t>，并检验方案稳定性；</w:t>
      </w:r>
    </w:p>
    <w:p w14:paraId="573128E2">
      <w:pPr>
        <w:numPr>
          <w:ilvl w:val="0"/>
          <w:numId w:val="2"/>
        </w:numPr>
        <w:bidi w:val="0"/>
      </w:pPr>
      <w:r>
        <w:t>评估</w:t>
      </w:r>
      <w:r>
        <w:rPr>
          <w:rFonts w:hint="eastAsia"/>
          <w:lang w:eastAsia="zh-CN"/>
        </w:rPr>
        <w:t>送端碳因子不确定性</w:t>
      </w:r>
      <w:r>
        <w:t>对问题三方案的冲击，给出</w:t>
      </w:r>
      <w:r>
        <w:rPr>
          <w:rFonts w:hint="eastAsia"/>
          <w:lang w:eastAsia="zh-CN"/>
        </w:rPr>
        <w:t>满足约束</w:t>
      </w:r>
      <w:r>
        <w:t>的调整机制并量化抗风险代价；</w:t>
      </w:r>
    </w:p>
    <w:p w14:paraId="5BC7BF6F">
      <w:pPr>
        <w:numPr>
          <w:ilvl w:val="0"/>
          <w:numId w:val="2"/>
        </w:numPr>
        <w:bidi w:val="0"/>
      </w:pPr>
      <w:r>
        <w:t>面向选定决策主体撰写约 1000 字咨询报告。</w:t>
      </w:r>
    </w:p>
    <w:p w14:paraId="095781A0">
      <w:pPr>
        <w:numPr>
          <w:ilvl w:val="0"/>
          <w:numId w:val="0"/>
        </w:numPr>
        <w:bidi w:val="0"/>
        <w:ind w:firstLine="500" w:firstLineChars="0"/>
      </w:pPr>
      <w:r>
        <w:t>附件 6 的题面文字写“突发事件”，Excel 给出的是碳因子上下界与情景 S0—S3 ，本文以 Excel 为准。</w:t>
      </w:r>
    </w:p>
    <w:p w14:paraId="0B7D2FDD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2" w:name="_Toc30331"/>
      <w:r>
        <w:t>问题分析与技术路线</w:t>
      </w:r>
      <w:bookmarkEnd w:id="2"/>
    </w:p>
    <w:p w14:paraId="3B61858C">
      <w:pPr>
        <w:bidi w:val="0"/>
        <w:rPr>
          <w:rFonts w:hint="eastAsia"/>
        </w:rPr>
      </w:pPr>
      <w:r>
        <w:rPr>
          <w:rFonts w:hint="eastAsia"/>
        </w:rPr>
        <w:t>四个建模环节存在明确的前后依赖。碳势计算需要满足守恒的电量数据，五年碳约束依赖 2025 年区域碳强度，而不确定性分析则以问题三的基准方案为参照，衡量冲击幅度及相应的抗风险成本。</w:t>
      </w:r>
    </w:p>
    <w:p w14:paraId="5F84A983">
      <w:pPr>
        <w:bidi w:val="0"/>
      </w:pPr>
      <w:r>
        <w:t>问题一采用过程系统中的稳健数据调和方法。在硬守恒约束下， 以 Huber 损失校正冗余观测，再通过普通 WLS 和污染实验比较粗差对估计结果的影响。该模型与电力系统稳健状态估计具有相同结构，但状态变量改为区域月度电量及通道送、受端电量。</w:t>
      </w:r>
    </w:p>
    <w:p w14:paraId="02881A18">
      <w:pPr>
        <w:bidi w:val="0"/>
      </w:pPr>
      <w:r>
        <w:t>问题二将潮流追踪中的比例共享原则用于碳流核算。同一节点的各项出流具有相同碳势，碳量随到达电量在网络中传递。为估计条件量测区间， 每个伪观测样本都重新经过完整的数据调和与碳流计算。责任核算包括生产侧、消费侧和线性共担三种口径，并以全省碳量守恒进行校验。</w:t>
      </w:r>
    </w:p>
    <w:p w14:paraId="243E7AD6">
      <w:pPr>
        <w:bidi w:val="0"/>
      </w:pPr>
      <w:r>
        <w:t xml:space="preserve">问题三建立多年期投资与运行耦合的 MILP。若以罚权同时处理缺供和区域超额，两类目标间的交换率取决于人为设定的权重。为避免这一问题，本文依次优化缺供、投资和最大相对区域超额，并扫描 </w:t>
      </w:r>
      <w:r>
        <w:rPr>
          <w:i/>
          <w:iCs/>
        </w:rPr>
        <w:t>ε</w:t>
      </w:r>
      <w:r>
        <w:t>。</w:t>
      </w:r>
    </w:p>
    <w:p w14:paraId="2F0D43C4">
      <w:pPr>
        <w:bidi w:val="0"/>
      </w:pPr>
      <w:r>
        <w:t>问题四以完整</w:t>
      </w:r>
      <w:r>
        <w:rPr>
          <w:i/>
          <w:iCs/>
        </w:rPr>
        <w:t xml:space="preserve"> Γ</w:t>
      </w:r>
      <w:r>
        <w:t xml:space="preserve"> 集确定压力下限，以无概率的 S0至 S3 描述典型适应路径。前者用于计算硬可行半径和恢复边界，后者用于求解带非预见约束的最小最大遗憾。滚动分析仅比较同一决策时点的剩余期目标</w:t>
      </w:r>
      <w:r>
        <w:rPr>
          <w:rFonts w:hint="eastAsia"/>
          <w:lang w:val="en-US" w:eastAsia="zh-CN"/>
        </w:rPr>
        <w:t>(</w:t>
      </w:r>
      <w:r>
        <w:t>objective-to-go</w:t>
      </w:r>
      <w:r>
        <w:rPr>
          <w:rFonts w:hint="eastAsia"/>
          <w:lang w:val="en-US" w:eastAsia="zh-CN"/>
        </w:rPr>
        <w:t>)</w:t>
      </w:r>
      <w:r>
        <w:t>。</w:t>
      </w:r>
    </w:p>
    <w:p w14:paraId="64ED7BF2">
      <w:pPr>
        <w:bidi w:val="0"/>
        <w:rPr>
          <w:rFonts w:hint="eastAsia" w:ascii="宋体" w:hAnsi="宋体" w:eastAsia="宋体" w:cs="宋体"/>
          <w:spacing w:val="-3"/>
          <w:lang w:eastAsia="zh-CN"/>
        </w:rPr>
      </w:pPr>
      <w:r>
        <w:t>技术路线如图式所示：附件1/2→ 问题一调和→ 附件3与碳势方程→问题二责任与份额矩阵</w:t>
      </w:r>
      <w:r>
        <w:rPr>
          <w:i/>
          <w:iCs/>
        </w:rPr>
        <w:t>S</w:t>
      </w:r>
      <w:r>
        <w:rPr>
          <w:b/>
          <w:bCs/>
          <w:i/>
          <w:iCs/>
          <w:vertAlign w:val="subscript"/>
        </w:rPr>
        <w:t>ij</w:t>
      </w:r>
      <w:r>
        <w:rPr>
          <w:rFonts w:hint="eastAsia"/>
          <w:b/>
          <w:bCs/>
          <w:i/>
          <w:iCs/>
          <w:vertAlign w:val="subscript"/>
          <w:lang w:val="en-US" w:eastAsia="zh-CN"/>
        </w:rPr>
        <w:t xml:space="preserve"> </w:t>
      </w:r>
      <w:r>
        <w:t>→附件4/5的五年MILP→ 附件6的情景与</w:t>
      </w:r>
      <w:r>
        <w:rPr>
          <w:i/>
          <w:iCs/>
        </w:rPr>
        <w:t>Γ</w:t>
      </w:r>
      <w:r>
        <w:rPr>
          <w:b/>
          <w:bCs/>
          <w:i/>
          <w:iCs/>
          <w:vertAlign w:val="subscript"/>
        </w:rPr>
        <w:t>t</w:t>
      </w:r>
      <w:r>
        <w:t xml:space="preserve"> →咨询报告。计算</w:t>
      </w:r>
      <w:r>
        <w:rPr>
          <w:rFonts w:hint="eastAsia"/>
          <w:lang w:val="en-US" w:eastAsia="zh-CN"/>
        </w:rPr>
        <w:t>环境</w:t>
      </w:r>
      <w:r>
        <w:t>为 Python3 、二次规划</w:t>
      </w:r>
      <w:r>
        <w:rPr>
          <w:rFonts w:hint="eastAsia"/>
          <w:lang w:val="en-US" w:eastAsia="zh-CN"/>
        </w:rPr>
        <w:t>使用</w:t>
      </w:r>
      <w:r>
        <w:t>cvxpy/Clarabel、 MILP</w:t>
      </w:r>
      <w:r>
        <w:rPr>
          <w:rFonts w:hint="eastAsia"/>
          <w:lang w:val="en-US" w:eastAsia="zh-CN"/>
        </w:rPr>
        <w:t>使用</w:t>
      </w:r>
      <w:r>
        <w:t>Pyomo/HiGHS。</w:t>
      </w:r>
      <w:r>
        <w:rPr>
          <w:rFonts w:hint="eastAsia" w:ascii="宋体" w:hAnsi="宋体" w:cs="宋体"/>
          <w:spacing w:val="-2"/>
          <w:lang w:eastAsia="zh-CN"/>
        </w:rPr>
        <w:t>正文中的关键数值均由程序生成并经交叉核验，文字取舍不改变计算口径和数值结果。</w:t>
      </w:r>
    </w:p>
    <w:p w14:paraId="5FD0B97E">
      <w:pPr>
        <w:bidi w:val="0"/>
        <w:rPr>
          <w:rFonts w:ascii="宋体" w:hAnsi="宋体" w:eastAsia="宋体" w:cs="宋体"/>
          <w:spacing w:val="-3"/>
        </w:rPr>
      </w:pPr>
    </w:p>
    <w:p w14:paraId="4AE823B8">
      <w:pPr>
        <w:bidi w:val="0"/>
        <w:ind w:left="0" w:leftChars="0" w:firstLine="0" w:firstLineChars="0"/>
        <w:jc w:val="center"/>
        <w:rPr>
          <w:rFonts w:hint="eastAsia" w:ascii="宋体" w:hAnsi="宋体" w:eastAsia="宋体" w:cs="宋体"/>
          <w:spacing w:val="-3"/>
          <w:lang w:eastAsia="zh-CN"/>
        </w:rPr>
      </w:pPr>
      <w:r>
        <w:rPr>
          <w:rFonts w:hint="eastAsia" w:ascii="宋体" w:hAnsi="宋体" w:eastAsia="宋体" w:cs="宋体"/>
          <w:spacing w:val="-3"/>
          <w:lang w:eastAsia="zh-CN"/>
        </w:rPr>
        <w:drawing>
          <wp:inline distT="0" distB="0" distL="114300" distR="114300">
            <wp:extent cx="3897630" cy="1400175"/>
            <wp:effectExtent l="0" t="0" r="3810" b="1905"/>
            <wp:docPr id="8" name="图片 8" descr="数模绘图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数模绘图1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3E63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五个问题的计算顺序</w:t>
      </w:r>
    </w:p>
    <w:p w14:paraId="753E241A">
      <w:pPr>
        <w:ind w:left="0" w:leftChars="0" w:firstLine="0" w:firstLineChars="0"/>
        <w:rPr>
          <w:rFonts w:hint="eastAsia"/>
          <w:lang w:eastAsia="zh-CN"/>
        </w:rPr>
      </w:pPr>
    </w:p>
    <w:p w14:paraId="2823B127">
      <w:pPr>
        <w:pStyle w:val="2"/>
        <w:keepNext w:val="0"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</w:pPr>
      <w:bookmarkStart w:id="3" w:name="_Toc27105"/>
      <w:r>
        <w:t>基本假设与符号</w:t>
      </w:r>
      <w:bookmarkEnd w:id="3"/>
    </w:p>
    <w:p w14:paraId="61C6A8B5">
      <w:pPr>
        <w:pStyle w:val="3"/>
        <w:keepNext w:val="0"/>
        <w:keepLines/>
        <w:pageBreakBefore w:val="0"/>
        <w:widowControl/>
        <w:numPr>
          <w:ilvl w:val="1"/>
          <w:numId w:val="3"/>
        </w:numPr>
        <w:tabs>
          <w:tab w:val="left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567" w:leftChars="0" w:hanging="567" w:firstLineChars="0"/>
        <w:textAlignment w:val="baseline"/>
      </w:pPr>
      <w:bookmarkStart w:id="4" w:name="_Toc7306"/>
      <w:r>
        <w:t>基本假设</w:t>
      </w:r>
      <w:bookmarkEnd w:id="4"/>
    </w:p>
    <w:p w14:paraId="08B4E4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b/>
          <w:bCs/>
        </w:rPr>
        <w:t xml:space="preserve">H1. </w:t>
      </w:r>
      <w:r>
        <w:t xml:space="preserve"> 校正后的月度电量满足区域能量平衡；通道损耗落在线路上，入流按受端计量、出流按送端计量。</w:t>
      </w:r>
    </w:p>
    <w:p w14:paraId="301E966A"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b/>
          <w:bCs/>
        </w:rPr>
        <w:t>H2.</w:t>
      </w:r>
      <w:r>
        <w:t xml:space="preserve">  区内输配损耗无直接关口，采用“终端用电</w:t>
      </w:r>
      <w:r>
        <w:rPr>
          <w:rFonts w:hint="eastAsia"/>
          <w:lang w:val="en-US" w:eastAsia="zh-CN"/>
        </w:rPr>
        <w:t>×</w:t>
      </w:r>
      <w:r>
        <w:t>5%”作为可松弛先验，不把损耗钉死在5%。</w:t>
      </w:r>
    </w:p>
    <w:p w14:paraId="682E5B2A">
      <w:pPr>
        <w:bidi w:val="0"/>
      </w:pPr>
      <w:r>
        <w:rPr>
          <w:b/>
          <w:bCs/>
        </w:rPr>
        <w:t>H3.</w:t>
      </w:r>
      <w:r>
        <w:t xml:space="preserve">  碳流采用比例共享与送端承担线损碳的主口径；节点碳势由入流碳量守恒唯一确定。</w:t>
      </w:r>
    </w:p>
    <w:p w14:paraId="73F7FF12">
      <w:pPr>
        <w:bidi w:val="0"/>
      </w:pPr>
      <w:r>
        <w:rPr>
          <w:b/>
          <w:bCs/>
        </w:rPr>
        <w:t>H4.</w:t>
      </w:r>
      <w:r>
        <w:t xml:space="preserve">  2026</w:t>
      </w:r>
      <w:r>
        <w:rPr>
          <w:rFonts w:hint="eastAsia"/>
          <w:lang w:val="en-US" w:eastAsia="zh-CN"/>
        </w:rPr>
        <w:t>~</w:t>
      </w:r>
      <w:r>
        <w:t>2030年区域终端碳强度沿用2025年追踪结果，再用附件给出的</w:t>
      </w:r>
      <m:oMath>
        <m:sSub>
          <m:sSubPr>
            <m:ctrlPr>
              <w:rPr>
                <w:rFonts w:hint="default" w:ascii="Cambria Math" w:hAnsi="Cambria Math" w:cs="宋体"/>
                <w:i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宋体"/>
                <w:i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宋体"/>
                <w:i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m:ctrlPr>
          </m:sub>
        </m:sSub>
      </m:oMath>
      <w:r>
        <w:t>做全省强度调整；官方碳核算不显式依赖区域间潮流。</w:t>
      </w:r>
    </w:p>
    <w:p w14:paraId="5DEF6BC0">
      <w:pPr>
        <w:bidi w:val="0"/>
      </w:pPr>
      <w:r>
        <w:rPr>
          <w:b/>
          <w:bCs/>
        </w:rPr>
        <w:t>H5.</w:t>
      </w:r>
      <w:r>
        <w:t xml:space="preserve">  问题四把2025年“省外输入分接入区”份额矩阵</w:t>
      </w:r>
      <w:r>
        <w:rPr>
          <w:i/>
          <w:iCs/>
        </w:rPr>
        <w:t>S</w:t>
      </w:r>
      <w:r>
        <w:rPr>
          <w:b/>
          <w:bCs/>
          <w:i/>
          <w:iCs/>
          <w:vertAlign w:val="subscript"/>
        </w:rPr>
        <w:t>ij</w:t>
      </w:r>
      <w:r>
        <w:t>冻结到2030年。</w:t>
      </w:r>
      <w:r>
        <w:rPr>
          <w:rFonts w:hint="eastAsia"/>
          <w:lang w:val="en-US" w:eastAsia="zh-CN"/>
        </w:rPr>
        <w:t>该假设较强</w:t>
      </w:r>
      <w:r>
        <w:t>，后文</w:t>
      </w:r>
      <w:r>
        <w:rPr>
          <w:rFonts w:hint="eastAsia"/>
          <w:lang w:val="en-US" w:eastAsia="zh-CN"/>
        </w:rPr>
        <w:t>会对其局限性作定量分析</w:t>
      </w:r>
      <w:r>
        <w:t>。</w:t>
      </w:r>
    </w:p>
    <w:p w14:paraId="0852B945">
      <w:pPr>
        <w:bidi w:val="0"/>
      </w:pPr>
      <w:r>
        <w:rPr>
          <w:b/>
          <w:bCs/>
        </w:rPr>
        <w:t>H6.</w:t>
      </w:r>
      <w:r>
        <w:t xml:space="preserve">  送端不确定</w:t>
      </w:r>
      <w:r>
        <w:rPr>
          <w:rFonts w:hint="eastAsia"/>
          <w:lang w:val="en-US" w:eastAsia="zh-CN"/>
        </w:rPr>
        <w:t>性仅采</w:t>
      </w:r>
      <w:r>
        <w:t>用附件6</w:t>
      </w:r>
      <w:r>
        <w:rPr>
          <w:rFonts w:hint="eastAsia"/>
          <w:lang w:val="en-US" w:eastAsia="zh-CN"/>
        </w:rPr>
        <w:t>给出的</w:t>
      </w:r>
      <w:r>
        <w:t>因子区间与情景，不</w:t>
      </w:r>
      <w:r>
        <w:rPr>
          <w:rFonts w:hint="eastAsia"/>
          <w:lang w:val="en-US" w:eastAsia="zh-CN"/>
        </w:rPr>
        <w:t>额外假设突发</w:t>
      </w:r>
      <w:r>
        <w:t>事件时间线。</w:t>
      </w:r>
    </w:p>
    <w:p w14:paraId="26C63465">
      <w:pPr>
        <w:bidi w:val="0"/>
      </w:pPr>
      <w:r>
        <w:rPr>
          <w:b/>
          <w:bCs/>
        </w:rPr>
        <w:t>H7.</w:t>
      </w:r>
      <w:r>
        <w:t xml:space="preserve">  项目效益自开工年加建设周期起生效；已开工规模在滚动中不可逆。</w:t>
      </w:r>
    </w:p>
    <w:p w14:paraId="2226FD07">
      <w:pPr>
        <w:bidi w:val="0"/>
      </w:pPr>
      <w:r>
        <w:rPr>
          <w:b/>
          <w:bCs/>
        </w:rPr>
        <w:t>H8.</w:t>
      </w:r>
      <w:r>
        <w:t xml:space="preserve">  主方案综合成本不折现，与附件年度投资上限同口径；8%折现仅作敏感性。</w:t>
      </w:r>
    </w:p>
    <w:p w14:paraId="53EF2A8B">
      <w:pPr>
        <w:pStyle w:val="3"/>
        <w:numPr>
          <w:ilvl w:val="1"/>
          <w:numId w:val="3"/>
        </w:numPr>
        <w:bidi w:val="0"/>
      </w:pPr>
      <w:bookmarkStart w:id="5" w:name="_Toc15277"/>
      <w:r>
        <w:t>主要符号</w:t>
      </w:r>
      <w:bookmarkEnd w:id="5"/>
    </w:p>
    <w:p w14:paraId="0D33FB8E">
      <w:pPr>
        <w:pStyle w:val="5"/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 主要符号</w:t>
      </w:r>
    </w:p>
    <w:tbl>
      <w:tblPr>
        <w:tblStyle w:val="12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987"/>
        <w:gridCol w:w="5646"/>
      </w:tblGrid>
      <w:tr w14:paraId="4517B971">
        <w:tc>
          <w:tcPr>
            <w:tcW w:w="13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ACF3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2" w:line="216" w:lineRule="auto"/>
              <w:ind w:left="0" w:leftChars="0" w:firstLine="0" w:firstLineChars="0"/>
              <w:jc w:val="left"/>
              <w:textAlignment w:val="baseline"/>
              <w:rPr>
                <w:b/>
                <w:bCs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</w:rPr>
              <w:t>符号</w:t>
            </w:r>
          </w:p>
        </w:tc>
        <w:tc>
          <w:tcPr>
            <w:tcW w:w="198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12EDB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2" w:line="214" w:lineRule="auto"/>
              <w:ind w:left="0" w:leftChars="0" w:firstLine="0" w:firstLineChars="0"/>
              <w:jc w:val="left"/>
              <w:textAlignment w:val="baseline"/>
              <w:rPr>
                <w:b/>
                <w:bCs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单位</w:t>
            </w:r>
          </w:p>
        </w:tc>
        <w:tc>
          <w:tcPr>
            <w:tcW w:w="56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64D9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5" w:line="211" w:lineRule="auto"/>
              <w:ind w:left="0" w:leftChars="0" w:firstLine="0" w:firstLineChars="0"/>
              <w:jc w:val="left"/>
              <w:textAlignment w:val="baseline"/>
              <w:rPr>
                <w:b/>
                <w:bCs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</w:rPr>
              <w:t>含义</w:t>
            </w:r>
          </w:p>
        </w:tc>
      </w:tr>
      <w:tr w14:paraId="43346792">
        <w:tc>
          <w:tcPr>
            <w:tcW w:w="138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94EB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2" w:line="216" w:lineRule="auto"/>
              <w:ind w:left="0" w:leftChars="0" w:firstLine="0" w:firstLineChars="0"/>
              <w:jc w:val="both"/>
              <w:textAlignment w:val="baseline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i/>
                <w:iCs/>
                <w:spacing w:val="15"/>
              </w:rPr>
              <w:t>i,</w:t>
            </w:r>
            <w:r>
              <w:rPr>
                <w:i/>
                <w:iCs/>
                <w:spacing w:val="-24"/>
              </w:rPr>
              <w:t xml:space="preserve"> </w:t>
            </w:r>
            <w:r>
              <w:rPr>
                <w:i/>
                <w:iCs/>
                <w:spacing w:val="15"/>
              </w:rPr>
              <w:t>j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B3FA79">
            <w:pPr>
              <w:bidi w:val="0"/>
              <w:ind w:left="0" w:leftChars="0" w:firstLine="0" w:firstLineChars="0"/>
              <w:jc w:val="both"/>
              <w:rPr>
                <w:rFonts w:ascii="宋体" w:hAnsi="宋体" w:eastAsia="宋体" w:cs="宋体"/>
                <w:spacing w:val="-4"/>
                <w:sz w:val="24"/>
                <w:szCs w:val="24"/>
              </w:rPr>
            </w:pPr>
            <w:r>
              <w:t>无量纲</w:t>
            </w:r>
          </w:p>
        </w:tc>
        <w:tc>
          <w:tcPr>
            <w:tcW w:w="56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4AE9FE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7" w:line="245" w:lineRule="exact"/>
              <w:ind w:left="0" w:leftChars="0" w:firstLine="0" w:firstLineChars="0"/>
              <w:jc w:val="both"/>
              <w:textAlignment w:val="baseline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</w:rPr>
              <w:t>区域，</w:t>
            </w:r>
            <w:r>
              <w:rPr>
                <w:i/>
                <w:iCs/>
                <w:spacing w:val="-1"/>
              </w:rPr>
              <w:t>i,</w:t>
            </w:r>
            <w:r>
              <w:rPr>
                <w:i/>
                <w:iCs/>
                <w:spacing w:val="-5"/>
              </w:rPr>
              <w:t xml:space="preserve"> </w:t>
            </w:r>
            <w:r>
              <w:rPr>
                <w:i/>
                <w:iCs/>
                <w:spacing w:val="-1"/>
              </w:rPr>
              <w:t>j</w:t>
            </w:r>
            <w:r>
              <w:rPr>
                <w:i/>
                <w:iCs/>
                <w:spacing w:val="40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i/>
                <w:iCs/>
                <w:spacing w:val="-1"/>
              </w:rPr>
              <w:t>∈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 </w:t>
            </w:r>
            <w:r>
              <w:rPr>
                <w:rFonts w:ascii="微软雅黑" w:hAnsi="微软雅黑" w:eastAsia="微软雅黑" w:cs="微软雅黑"/>
                <w:i/>
                <w:iCs/>
                <w:spacing w:val="-1"/>
              </w:rPr>
              <w:t>{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spacing w:val="-1"/>
              </w:rPr>
              <w:t>1</w:t>
            </w:r>
            <w:r>
              <w:rPr>
                <w:i/>
                <w:iCs/>
                <w:spacing w:val="-1"/>
              </w:rPr>
              <w:t>, . . . ,</w:t>
            </w:r>
            <w:r>
              <w:rPr>
                <w:i/>
                <w:iCs/>
                <w:spacing w:val="-12"/>
              </w:rPr>
              <w:t xml:space="preserve"> 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spacing w:val="-1"/>
              </w:rPr>
              <w:t>8</w:t>
            </w:r>
            <w:r>
              <w:rPr>
                <w:rFonts w:ascii="微软雅黑" w:hAnsi="微软雅黑" w:eastAsia="微软雅黑" w:cs="微软雅黑"/>
                <w:i/>
                <w:iCs/>
                <w:spacing w:val="-1"/>
              </w:rPr>
              <w:t>}</w:t>
            </w:r>
          </w:p>
        </w:tc>
      </w:tr>
      <w:tr w14:paraId="1482090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B32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6"/>
              </w:rPr>
              <w:t>t,</w:t>
            </w:r>
            <w:r>
              <w:rPr>
                <w:i/>
                <w:iCs/>
                <w:spacing w:val="-14"/>
              </w:rPr>
              <w:t xml:space="preserve"> </w:t>
            </w:r>
            <w:r>
              <w:rPr>
                <w:i/>
                <w:iCs/>
                <w:spacing w:val="6"/>
              </w:rPr>
              <w:t>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B8F35">
            <w:pPr>
              <w:bidi w:val="0"/>
              <w:ind w:left="0" w:leftChars="0" w:firstLine="0" w:firstLineChars="0"/>
              <w:jc w:val="both"/>
              <w:rPr>
                <w:vertAlign w:val="baseline"/>
              </w:rPr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F8902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6" w:lineRule="auto"/>
              <w:ind w:left="0" w:leftChars="0" w:right="379" w:rightChars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</w:rPr>
              <w:t>月份（</w:t>
            </w:r>
            <w:r>
              <w:rPr>
                <w:spacing w:val="-2"/>
              </w:rPr>
              <w:t>2025</w:t>
            </w:r>
            <w:r>
              <w:rPr>
                <w:rFonts w:ascii="宋体" w:hAnsi="宋体" w:eastAsia="宋体" w:cs="宋体"/>
                <w:spacing w:val="-2"/>
              </w:rPr>
              <w:t>）或规划年（</w:t>
            </w:r>
            <w:r>
              <w:rPr>
                <w:spacing w:val="-2"/>
              </w:rPr>
              <w:t>2026</w:t>
            </w:r>
            <w:r>
              <w:rPr>
                <w:rFonts w:hint="eastAsia" w:eastAsia="宋体"/>
                <w:spacing w:val="-2"/>
                <w:lang w:val="en-US" w:eastAsia="zh-CN"/>
              </w:rPr>
              <w:t>~</w:t>
            </w:r>
            <w:r>
              <w:rPr>
                <w:spacing w:val="-2"/>
              </w:rPr>
              <w:t>2030</w:t>
            </w:r>
            <w:r>
              <w:rPr>
                <w:rFonts w:ascii="宋体" w:hAnsi="宋体" w:eastAsia="宋体" w:cs="宋体"/>
                <w:spacing w:val="-2"/>
              </w:rPr>
              <w:t>）</w:t>
            </w:r>
            <w:r>
              <w:rPr>
                <w:rFonts w:ascii="宋体" w:hAnsi="宋体" w:eastAsia="宋体" w:cs="宋体"/>
                <w:spacing w:val="-1"/>
              </w:rPr>
              <w:t>观测、校正值、不确定度</w:t>
            </w:r>
          </w:p>
        </w:tc>
      </w:tr>
      <w:tr w14:paraId="602F8B97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861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</w:rPr>
              <w:t>x</w:t>
            </w:r>
            <w:r>
              <w:rPr>
                <w:b/>
                <w:bCs/>
                <w:i/>
                <w:iCs/>
                <w:position w:val="-2"/>
                <w:sz w:val="15"/>
                <w:szCs w:val="15"/>
              </w:rPr>
              <w:t>k</w:t>
            </w:r>
            <w:r>
              <w:rPr>
                <w:i/>
                <w:iCs/>
                <w:spacing w:val="1"/>
                <w:position w:val="-2"/>
                <w:sz w:val="15"/>
                <w:szCs w:val="15"/>
              </w:rPr>
              <w:t xml:space="preserve"> </w:t>
            </w:r>
            <w:r>
              <w:rPr>
                <w:i/>
                <w:iCs/>
                <w:spacing w:val="11"/>
              </w:rPr>
              <w:t>,</w:t>
            </w:r>
            <w:r>
              <w:rPr>
                <w:i/>
                <w:iCs/>
                <w:spacing w:val="-13"/>
              </w:rPr>
              <w:t xml:space="preserve"> </w:t>
            </w:r>
            <w:r>
              <w:fldChar w:fldCharType="begin"/>
            </w:r>
            <w:r>
              <w:instrText xml:space="preserve">EQ \* jc3 \* hps24 \o\al(\s\up 0(</w:instrText>
            </w:r>
            <w:r>
              <w:rPr>
                <w:i/>
                <w:iCs/>
                <w:w w:val="118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156"/>
              </w:rPr>
              <w:instrText xml:space="preserve">ˆ</w:instrText>
            </w:r>
            <w:r>
              <w:instrText xml:space="preserve">)</w:instrText>
            </w:r>
            <w:r>
              <w:fldChar w:fldCharType="end"/>
            </w:r>
            <w:r>
              <w:rPr>
                <w:b/>
                <w:bCs/>
                <w:i/>
                <w:iCs/>
                <w:spacing w:val="11"/>
                <w:position w:val="-2"/>
                <w:sz w:val="15"/>
                <w:szCs w:val="15"/>
              </w:rPr>
              <w:t>k</w:t>
            </w:r>
            <w:r>
              <w:rPr>
                <w:i/>
                <w:iCs/>
                <w:spacing w:val="-2"/>
                <w:position w:val="-2"/>
                <w:sz w:val="15"/>
                <w:szCs w:val="15"/>
              </w:rPr>
              <w:t xml:space="preserve"> </w:t>
            </w:r>
            <w:r>
              <w:rPr>
                <w:i/>
                <w:iCs/>
                <w:spacing w:val="11"/>
              </w:rPr>
              <w:t>,</w:t>
            </w:r>
            <w:r>
              <w:rPr>
                <w:i/>
                <w:iCs/>
                <w:spacing w:val="-11"/>
              </w:rPr>
              <w:t xml:space="preserve"> </w:t>
            </w:r>
            <w:r>
              <w:rPr>
                <w:i/>
                <w:iCs/>
                <w:spacing w:val="11"/>
              </w:rPr>
              <w:t>σ</w:t>
            </w:r>
            <w:r>
              <w:rPr>
                <w:b/>
                <w:bCs/>
                <w:i/>
                <w:iCs/>
                <w:spacing w:val="11"/>
                <w:position w:val="-2"/>
                <w:sz w:val="15"/>
                <w:szCs w:val="15"/>
              </w:rPr>
              <w:t>k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37FAD">
            <w:pPr>
              <w:bidi w:val="0"/>
              <w:ind w:left="0" w:leftChars="0" w:firstLine="0" w:firstLineChars="0"/>
              <w:jc w:val="both"/>
            </w:pPr>
            <w:r>
              <w:t>GWh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A68A9">
            <w:pPr>
              <w:bidi w:val="0"/>
              <w:ind w:left="0" w:leftChars="0" w:firstLine="0" w:firstLineChars="0"/>
              <w:jc w:val="both"/>
            </w:pPr>
            <w:r>
              <w:t>观测、校正值、不确定度</w:t>
            </w:r>
          </w:p>
        </w:tc>
      </w:tr>
      <w:tr w14:paraId="636773EF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8E1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1"/>
                <w:position w:val="1"/>
              </w:rPr>
              <w:t>η</w:t>
            </w:r>
            <w:r>
              <w:rPr>
                <w:b/>
                <w:bCs/>
                <w:i/>
                <w:iCs/>
                <w:spacing w:val="1"/>
                <w:position w:val="-2"/>
                <w:sz w:val="15"/>
                <w:szCs w:val="15"/>
              </w:rPr>
              <w:t>e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DFA43">
            <w:pPr>
              <w:bidi w:val="0"/>
              <w:ind w:left="0" w:leftChars="0" w:firstLine="0" w:firstLineChars="0"/>
              <w:jc w:val="both"/>
              <w:rPr>
                <w:vertAlign w:val="baseline"/>
              </w:rPr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51CF1">
            <w:pPr>
              <w:pStyle w:val="15"/>
              <w:spacing w:before="20" w:line="195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</w:rPr>
              <w:t>通道</w:t>
            </w:r>
            <w:r>
              <w:rPr>
                <w:rFonts w:ascii="宋体" w:hAnsi="宋体" w:eastAsia="宋体" w:cs="宋体"/>
                <w:spacing w:val="-49"/>
              </w:rPr>
              <w:t xml:space="preserve"> </w:t>
            </w:r>
            <w:r>
              <w:rPr>
                <w:i/>
                <w:iCs/>
                <w:spacing w:val="-2"/>
              </w:rPr>
              <w:t xml:space="preserve">e </w:t>
            </w:r>
            <w:r>
              <w:rPr>
                <w:rFonts w:ascii="宋体" w:hAnsi="宋体" w:eastAsia="宋体" w:cs="宋体"/>
                <w:spacing w:val="-2"/>
              </w:rPr>
              <w:t>损耗率</w:t>
            </w:r>
          </w:p>
        </w:tc>
      </w:tr>
      <w:tr w14:paraId="35C4C22D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0866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" w:line="210" w:lineRule="auto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11"/>
                <w:position w:val="2"/>
              </w:rPr>
              <w:t>ρ</w:t>
            </w:r>
            <w:r>
              <w:rPr>
                <w:b/>
                <w:bCs/>
                <w:i/>
                <w:iCs/>
                <w:spacing w:val="11"/>
                <w:position w:val="-1"/>
                <w:sz w:val="15"/>
                <w:szCs w:val="15"/>
              </w:rPr>
              <w:t>i,t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6BD7D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11" w:lineRule="auto"/>
              <w:ind w:left="0" w:leftChars="0" w:firstLine="0" w:firstLineChars="0"/>
              <w:jc w:val="both"/>
              <w:textAlignment w:val="baseline"/>
              <w:rPr>
                <w:vertAlign w:val="baseline"/>
              </w:rPr>
            </w:pPr>
            <w:r>
              <w:t>kgCO</w:t>
            </w:r>
            <w:r>
              <w:rPr>
                <w:spacing w:val="4"/>
                <w:position w:val="-3"/>
                <w:sz w:val="15"/>
                <w:szCs w:val="15"/>
              </w:rPr>
              <w:t>2</w:t>
            </w:r>
            <w:r>
              <w:rPr>
                <w:spacing w:val="4"/>
              </w:rPr>
              <w:t>/</w:t>
            </w:r>
            <w:r>
              <w:t>kWh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7B1C0">
            <w:pPr>
              <w:spacing w:before="21" w:line="202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节点碳势（终端用电碳强度）</w:t>
            </w:r>
          </w:p>
        </w:tc>
      </w:tr>
      <w:tr w14:paraId="4D503591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0C0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</w:rPr>
              <w:t>P</w:t>
            </w:r>
            <w:r>
              <w:rPr>
                <w:b/>
                <w:bCs/>
                <w:i/>
                <w:iCs/>
                <w:position w:val="-6"/>
                <w:sz w:val="15"/>
                <w:szCs w:val="15"/>
              </w:rPr>
              <w:t>i</w:t>
            </w:r>
            <w:r>
              <w:rPr>
                <w:spacing w:val="11"/>
                <w:position w:val="9"/>
                <w:sz w:val="15"/>
                <w:szCs w:val="15"/>
              </w:rPr>
              <w:t>+</w:t>
            </w:r>
            <w:r>
              <w:rPr>
                <w:spacing w:val="-6"/>
                <w:position w:val="9"/>
                <w:sz w:val="15"/>
                <w:szCs w:val="15"/>
              </w:rPr>
              <w:t xml:space="preserve"> </w:t>
            </w:r>
            <w:r>
              <w:rPr>
                <w:i/>
                <w:iCs/>
                <w:spacing w:val="11"/>
              </w:rPr>
              <w:t>,</w:t>
            </w:r>
            <w:r>
              <w:rPr>
                <w:i/>
                <w:iCs/>
                <w:spacing w:val="-8"/>
              </w:rPr>
              <w:t xml:space="preserve"> </w:t>
            </w:r>
            <w:r>
              <w:rPr>
                <w:i/>
                <w:iCs/>
              </w:rPr>
              <w:t>C</w:t>
            </w:r>
            <w:r>
              <w:rPr>
                <w:b/>
                <w:bCs/>
                <w:i/>
                <w:iCs/>
                <w:position w:val="-6"/>
                <w:sz w:val="15"/>
                <w:szCs w:val="15"/>
              </w:rPr>
              <w:t>i</w:t>
            </w:r>
            <w:r>
              <w:rPr>
                <w:spacing w:val="11"/>
                <w:position w:val="9"/>
                <w:sz w:val="15"/>
                <w:szCs w:val="15"/>
              </w:rPr>
              <w:t>+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576E0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5" w:line="238" w:lineRule="auto"/>
              <w:ind w:left="0" w:leftChars="0" w:firstLine="0" w:firstLineChars="0"/>
              <w:jc w:val="both"/>
              <w:textAlignment w:val="baseline"/>
              <w:rPr>
                <w:vertAlign w:val="baseline"/>
              </w:rPr>
            </w:pPr>
            <w:r>
              <w:t>ktCO</w:t>
            </w:r>
            <w:r>
              <w:rPr>
                <w:spacing w:val="5"/>
                <w:position w:val="-2"/>
                <w:sz w:val="15"/>
                <w:szCs w:val="15"/>
              </w:rPr>
              <w:t>2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CC3A2">
            <w:pPr>
              <w:spacing w:before="19" w:line="201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扩展生产责任、全口径消费责任</w:t>
            </w:r>
          </w:p>
        </w:tc>
      </w:tr>
      <w:tr w14:paraId="27816C3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9A8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position w:val="2"/>
              </w:rPr>
              <w:t>F</w:t>
            </w:r>
            <w:r>
              <w:rPr>
                <w:b/>
                <w:bCs/>
                <w:i/>
                <w:iCs/>
                <w:sz w:val="15"/>
                <w:szCs w:val="15"/>
              </w:rPr>
              <w:t>j</w:t>
            </w:r>
            <w:r>
              <w:rPr>
                <w:b/>
                <w:bCs/>
                <w:i/>
                <w:iCs/>
                <w:spacing w:val="-19"/>
                <w:sz w:val="15"/>
                <w:szCs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i/>
                <w:iCs/>
                <w:spacing w:val="23"/>
                <w:sz w:val="15"/>
                <w:szCs w:val="15"/>
              </w:rPr>
              <w:t>→</w:t>
            </w:r>
            <w:r>
              <w:rPr>
                <w:b/>
                <w:bCs/>
                <w:i/>
                <w:iCs/>
                <w:spacing w:val="23"/>
                <w:sz w:val="15"/>
                <w:szCs w:val="15"/>
              </w:rPr>
              <w:t>i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B11DF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" w:line="238" w:lineRule="auto"/>
              <w:ind w:left="0" w:leftChars="0" w:firstLine="0" w:firstLineChars="0"/>
              <w:jc w:val="both"/>
              <w:textAlignment w:val="baseline"/>
              <w:rPr>
                <w:vertAlign w:val="baseline"/>
              </w:rPr>
            </w:pPr>
            <w:r>
              <w:t>ktCO</w:t>
            </w:r>
            <w:r>
              <w:rPr>
                <w:spacing w:val="5"/>
                <w:position w:val="-2"/>
                <w:sz w:val="15"/>
                <w:szCs w:val="15"/>
              </w:rPr>
              <w:t>2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4D257">
            <w:pPr>
              <w:pStyle w:val="15"/>
              <w:spacing w:before="17" w:line="261" w:lineRule="exact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position w:val="1"/>
              </w:rPr>
              <w:t>通道</w:t>
            </w:r>
            <w:r>
              <w:rPr>
                <w:rFonts w:ascii="宋体" w:hAnsi="宋体" w:eastAsia="宋体" w:cs="宋体"/>
                <w:spacing w:val="-55"/>
                <w:position w:val="1"/>
              </w:rPr>
              <w:t xml:space="preserve"> </w:t>
            </w:r>
            <w:r>
              <w:rPr>
                <w:i/>
                <w:iCs/>
                <w:position w:val="1"/>
              </w:rPr>
              <w:t>j</w:t>
            </w:r>
            <w:r>
              <w:rPr>
                <w:i/>
                <w:iCs/>
                <w:spacing w:val="33"/>
                <w:w w:val="101"/>
                <w:position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i/>
                <w:iCs/>
                <w:position w:val="1"/>
              </w:rPr>
              <w:t>→</w:t>
            </w:r>
            <w:r>
              <w:rPr>
                <w:rFonts w:ascii="微软雅黑" w:hAnsi="微软雅黑" w:eastAsia="微软雅黑" w:cs="微软雅黑"/>
                <w:position w:val="1"/>
              </w:rPr>
              <w:t xml:space="preserve"> </w:t>
            </w:r>
            <w:r>
              <w:rPr>
                <w:i/>
                <w:iCs/>
                <w:position w:val="1"/>
              </w:rPr>
              <w:t>i</w:t>
            </w:r>
            <w:r>
              <w:rPr>
                <w:i/>
                <w:iCs/>
                <w:spacing w:val="14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position w:val="1"/>
              </w:rPr>
              <w:t>到达电量携带的碳</w:t>
            </w:r>
          </w:p>
        </w:tc>
      </w:tr>
      <w:tr w14:paraId="2C16B7B4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39AF4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" w:line="204" w:lineRule="auto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17"/>
                <w:w w:val="101"/>
                <w:position w:val="2"/>
              </w:rPr>
              <w:t>S</w:t>
            </w:r>
            <w:r>
              <w:rPr>
                <w:b/>
                <w:bCs/>
                <w:i/>
                <w:iCs/>
                <w:spacing w:val="17"/>
                <w:w w:val="101"/>
                <w:position w:val="-1"/>
                <w:sz w:val="15"/>
                <w:szCs w:val="15"/>
              </w:rPr>
              <w:t>ij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BABCE">
            <w:pPr>
              <w:bidi w:val="0"/>
              <w:ind w:left="0" w:leftChars="0" w:firstLine="0" w:firstLineChars="0"/>
              <w:jc w:val="both"/>
              <w:rPr>
                <w:vertAlign w:val="baseline"/>
              </w:rPr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50C79">
            <w:pPr>
              <w:pStyle w:val="15"/>
              <w:spacing w:before="18" w:line="203" w:lineRule="auto"/>
              <w:ind w:left="0" w:leftChars="0" w:right="119" w:righ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</w:rPr>
              <w:t>区域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20"/>
              </w:rPr>
              <w:t xml:space="preserve"> </w:t>
            </w:r>
            <w:r>
              <w:rPr>
                <w:rFonts w:ascii="宋体" w:hAnsi="宋体" w:eastAsia="宋体" w:cs="宋体"/>
              </w:rPr>
              <w:t>消费中来自接入区</w:t>
            </w:r>
            <w:r>
              <w:rPr>
                <w:rFonts w:ascii="宋体" w:hAnsi="宋体" w:eastAsia="宋体" w:cs="宋体"/>
                <w:spacing w:val="-59"/>
              </w:rPr>
              <w:t xml:space="preserve"> </w:t>
            </w:r>
            <w:r>
              <w:rPr>
                <w:i/>
                <w:iCs/>
              </w:rPr>
              <w:t>j</w:t>
            </w:r>
            <w:r>
              <w:rPr>
                <w:i/>
                <w:iCs/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</w:rPr>
              <w:t>省外输入的份额</w:t>
            </w:r>
          </w:p>
        </w:tc>
      </w:tr>
      <w:tr w14:paraId="6CBC7F8C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71F6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" w:line="204" w:lineRule="auto"/>
              <w:ind w:left="0" w:firstLine="0" w:firstLineChars="0"/>
              <w:jc w:val="both"/>
              <w:textAlignment w:val="baseline"/>
              <w:rPr>
                <w:i/>
                <w:iCs/>
                <w:spacing w:val="17"/>
                <w:w w:val="101"/>
                <w:position w:val="2"/>
              </w:rPr>
            </w:pPr>
            <w:r>
              <w:rPr>
                <w:i/>
                <w:iCs/>
                <w:spacing w:val="14"/>
                <w:position w:val="2"/>
                <w:u w:val="none" w:color="auto"/>
              </w:rPr>
              <w:t>E</w:t>
            </w:r>
            <w:r>
              <w:rPr>
                <w:b/>
                <w:bCs/>
                <w:i/>
                <w:iCs/>
                <w:spacing w:val="14"/>
                <w:sz w:val="15"/>
                <w:szCs w:val="15"/>
              </w:rPr>
              <w:t>i,y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FE876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117" w:lineRule="exact"/>
              <w:ind w:left="0" w:leftChars="0" w:firstLine="0" w:firstLineChars="0"/>
              <w:jc w:val="both"/>
              <w:textAlignment w:val="baseline"/>
              <w:rPr>
                <w:position w:val="-2"/>
              </w:rPr>
            </w:pPr>
            <w:r>
              <w:t>ktCO</w:t>
            </w:r>
            <w:r>
              <w:rPr>
                <w:spacing w:val="5"/>
                <w:position w:val="-2"/>
                <w:sz w:val="15"/>
                <w:szCs w:val="15"/>
              </w:rPr>
              <w:t>2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9256F">
            <w:pPr>
              <w:spacing w:before="36" w:line="210" w:lineRule="auto"/>
              <w:ind w:left="0" w:leftChars="0" w:firstLine="0" w:firstLineChars="0"/>
              <w:jc w:val="both"/>
              <w:rPr>
                <w:rFonts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规划年消费侧碳排放</w:t>
            </w:r>
          </w:p>
        </w:tc>
      </w:tr>
      <w:tr w14:paraId="0A79287D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B19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23"/>
                <w:position w:val="1"/>
              </w:rPr>
              <w:t>E</w:t>
            </w:r>
            <w:r>
              <w:rPr>
                <w:i/>
                <w:iCs/>
                <w:spacing w:val="23"/>
                <w:position w:val="-1"/>
                <w:sz w:val="15"/>
                <w:szCs w:val="15"/>
              </w:rPr>
              <w:t>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FD6FA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" w:line="238" w:lineRule="auto"/>
              <w:ind w:left="0" w:leftChars="0" w:firstLine="0" w:firstLineChars="0"/>
              <w:jc w:val="both"/>
              <w:textAlignment w:val="baseline"/>
              <w:rPr>
                <w:vertAlign w:val="baseline"/>
              </w:rPr>
            </w:pPr>
            <w:r>
              <w:t>ktCO</w:t>
            </w:r>
            <w:r>
              <w:rPr>
                <w:spacing w:val="5"/>
                <w:position w:val="-2"/>
                <w:sz w:val="15"/>
                <w:szCs w:val="15"/>
              </w:rPr>
              <w:t>2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FFF5F">
            <w:pPr>
              <w:spacing w:before="15" w:line="200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全省消费侧碳上限</w:t>
            </w:r>
          </w:p>
        </w:tc>
      </w:tr>
      <w:tr w14:paraId="466E2B74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C73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15"/>
                <w:position w:val="2"/>
              </w:rPr>
              <w:t>B</w:t>
            </w:r>
            <w:r>
              <w:rPr>
                <w:b/>
                <w:bCs/>
                <w:i/>
                <w:iCs/>
                <w:spacing w:val="15"/>
                <w:sz w:val="15"/>
                <w:szCs w:val="15"/>
              </w:rPr>
              <w:t>i,y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7517B">
            <w:pPr>
              <w:pStyle w:val="1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" w:line="238" w:lineRule="auto"/>
              <w:ind w:left="0" w:leftChars="0" w:firstLine="0" w:firstLineChars="0"/>
              <w:jc w:val="both"/>
              <w:textAlignment w:val="baseline"/>
              <w:rPr>
                <w:vertAlign w:val="baseline"/>
              </w:rPr>
            </w:pPr>
            <w:r>
              <w:t>ktCO</w:t>
            </w:r>
            <w:r>
              <w:rPr>
                <w:spacing w:val="5"/>
                <w:position w:val="-2"/>
                <w:sz w:val="15"/>
                <w:szCs w:val="15"/>
              </w:rPr>
              <w:t>2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A42EB">
            <w:pPr>
              <w:spacing w:before="16" w:line="201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区域软预算</w:t>
            </w:r>
          </w:p>
        </w:tc>
      </w:tr>
      <w:tr w14:paraId="30CAB56B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989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9"/>
                <w:position w:val="1"/>
              </w:rPr>
              <w:t>w</w:t>
            </w:r>
            <w:r>
              <w:rPr>
                <w:b/>
                <w:bCs/>
                <w:i/>
                <w:iCs/>
                <w:spacing w:val="9"/>
                <w:position w:val="-2"/>
                <w:sz w:val="15"/>
                <w:szCs w:val="15"/>
              </w:rPr>
              <w:t>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89429">
            <w:pPr>
              <w:bidi w:val="0"/>
              <w:ind w:left="0" w:leftChars="0" w:firstLine="0" w:firstLineChars="0"/>
              <w:jc w:val="both"/>
              <w:rPr>
                <w:vertAlign w:val="baseline"/>
              </w:rPr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3550F">
            <w:pPr>
              <w:pStyle w:val="15"/>
              <w:spacing w:line="161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</w:rPr>
              <w:t>预算惯性权重（</w:t>
            </w:r>
            <w:r>
              <w:rPr>
                <w:spacing w:val="-2"/>
              </w:rPr>
              <w:t>0.85</w:t>
            </w:r>
            <w:r>
              <w:rPr>
                <w:rFonts w:ascii="微软雅黑" w:hAnsi="微软雅黑" w:eastAsia="微软雅黑" w:cs="微软雅黑"/>
                <w:i/>
                <w:iCs/>
                <w:spacing w:val="-2"/>
              </w:rPr>
              <w:t>→</w:t>
            </w:r>
            <w:r>
              <w:rPr>
                <w:rFonts w:ascii="微软雅黑" w:hAnsi="微软雅黑" w:eastAsia="微软雅黑" w:cs="微软雅黑"/>
                <w:spacing w:val="-46"/>
              </w:rPr>
              <w:t xml:space="preserve"> </w:t>
            </w:r>
            <w:r>
              <w:rPr>
                <w:spacing w:val="-2"/>
              </w:rPr>
              <w:t>0.65</w:t>
            </w:r>
            <w:r>
              <w:rPr>
                <w:rFonts w:ascii="宋体" w:hAnsi="宋体" w:eastAsia="宋体" w:cs="宋体"/>
                <w:spacing w:val="-2"/>
              </w:rPr>
              <w:t>）</w:t>
            </w:r>
          </w:p>
        </w:tc>
      </w:tr>
      <w:tr w14:paraId="2B728CCD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CDD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11"/>
                <w:position w:val="2"/>
              </w:rPr>
              <w:t>ξ</w:t>
            </w:r>
            <w:r>
              <w:rPr>
                <w:b/>
                <w:bCs/>
                <w:i/>
                <w:iCs/>
                <w:spacing w:val="11"/>
                <w:position w:val="-1"/>
                <w:sz w:val="15"/>
                <w:szCs w:val="15"/>
              </w:rPr>
              <w:t>j,y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F3E0A">
            <w:pPr>
              <w:bidi w:val="0"/>
              <w:ind w:left="0" w:leftChars="0" w:firstLine="0" w:firstLineChars="0"/>
              <w:jc w:val="both"/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EEBD8">
            <w:pPr>
              <w:spacing w:before="19" w:line="199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送端因子相对基准的乘数</w:t>
            </w:r>
          </w:p>
        </w:tc>
      </w:tr>
      <w:tr w14:paraId="5F5D037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29C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firstLineChars="0"/>
              <w:jc w:val="both"/>
              <w:textAlignment w:val="baseline"/>
              <w:rPr>
                <w:vertAlign w:val="baseline"/>
              </w:rPr>
            </w:pPr>
            <w:r>
              <w:rPr>
                <w:i/>
                <w:iCs/>
                <w:spacing w:val="9"/>
                <w:position w:val="1"/>
              </w:rPr>
              <w:t>Γ</w:t>
            </w:r>
            <w:r>
              <w:rPr>
                <w:b/>
                <w:bCs/>
                <w:i/>
                <w:iCs/>
                <w:spacing w:val="9"/>
                <w:position w:val="-1"/>
                <w:sz w:val="15"/>
                <w:szCs w:val="15"/>
              </w:rPr>
              <w:t>y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9C2CB">
            <w:pPr>
              <w:bidi w:val="0"/>
              <w:ind w:left="0" w:leftChars="0" w:firstLine="0" w:firstLineChars="0"/>
              <w:jc w:val="both"/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FDAD5">
            <w:pPr>
              <w:pStyle w:val="15"/>
              <w:spacing w:before="17" w:line="199" w:lineRule="auto"/>
              <w:ind w:left="0" w:leftChars="0" w:firstLine="0" w:firstLineChars="0"/>
              <w:jc w:val="both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3"/>
              </w:rPr>
              <w:t>年份</w:t>
            </w:r>
            <w:r>
              <w:rPr>
                <w:rFonts w:ascii="宋体" w:hAnsi="宋体" w:eastAsia="宋体" w:cs="宋体"/>
                <w:spacing w:val="-54"/>
              </w:rPr>
              <w:t xml:space="preserve"> </w:t>
            </w:r>
            <w:r>
              <w:rPr>
                <w:i/>
                <w:iCs/>
                <w:spacing w:val="-3"/>
              </w:rPr>
              <w:t>y</w:t>
            </w:r>
            <w:r>
              <w:rPr>
                <w:i/>
                <w:iCs/>
                <w:spacing w:val="3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</w:rPr>
              <w:t>的不确定预算</w:t>
            </w:r>
          </w:p>
        </w:tc>
      </w:tr>
      <w:tr w14:paraId="365ACC95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BD4F4">
            <w:pPr>
              <w:bidi w:val="0"/>
              <w:ind w:left="0" w:leftChars="0" w:firstLine="0" w:firstLine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i/>
                <w:iCs/>
              </w:rPr>
              <w:t>C</w:t>
            </w:r>
            <w:r>
              <w:rPr>
                <w:rFonts w:hint="eastAsia"/>
                <w:i/>
                <w:iCs/>
                <w:vertAlign w:val="superscript"/>
                <w:lang w:val="en-US" w:eastAsia="zh-CN"/>
              </w:rPr>
              <w:t>*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A2122">
            <w:pPr>
              <w:bidi w:val="0"/>
              <w:ind w:left="0" w:leftChars="0" w:firstLine="0" w:firstLineChars="0"/>
              <w:jc w:val="both"/>
            </w:pPr>
            <w:r>
              <w:t>百万元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93A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" w:beforeLines="25" w:after="25" w:afterLines="25" w:line="236" w:lineRule="auto"/>
              <w:ind w:left="0" w:leftChars="0" w:right="379" w:rightChars="0" w:firstLine="0" w:firstLineChars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en-US" w:bidi="ar-SA"/>
              </w:rPr>
              <w:t>零缺供条件下的最低投资</w:t>
            </w:r>
          </w:p>
        </w:tc>
      </w:tr>
      <w:tr w14:paraId="369C1CE5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EF9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" w:beforeLines="25" w:after="25" w:afterLines="25" w:line="240" w:lineRule="auto"/>
              <w:ind w:left="0" w:leftChars="0" w:firstLine="0" w:firstLineChars="0"/>
              <w:jc w:val="both"/>
              <w:textAlignment w:val="baseline"/>
              <w:rPr>
                <w:rFonts w:ascii="Times New Roman" w:hAnsi="Times New Roman" w:eastAsia="宋体" w:cs="宋体"/>
                <w:i/>
                <w:iCs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宋体"/>
                <w:i/>
                <w:iCs/>
                <w:snapToGrid w:val="0"/>
                <w:color w:val="000000"/>
                <w:spacing w:val="6"/>
                <w:kern w:val="0"/>
                <w:sz w:val="24"/>
                <w:szCs w:val="24"/>
                <w:lang w:val="en-US" w:eastAsia="en-US" w:bidi="ar-SA"/>
              </w:rPr>
              <w:t>ε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DDFA7">
            <w:pPr>
              <w:bidi w:val="0"/>
              <w:ind w:left="0" w:leftChars="0" w:firstLine="0" w:firstLineChars="0"/>
              <w:jc w:val="both"/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054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" w:beforeLines="25" w:after="25" w:afterLines="25" w:line="189" w:lineRule="auto"/>
              <w:ind w:left="0" w:leftChars="0" w:firstLine="0" w:firstLineChars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  <w:t xml:space="preserve">相对 </w:t>
            </w:r>
            <w:r>
              <w:rPr>
                <w:i/>
                <w:iCs/>
              </w:rPr>
              <w:t>C</w:t>
            </w:r>
            <w:r>
              <w:rPr>
                <w:rFonts w:hint="eastAsia"/>
                <w:i/>
                <w:iCs/>
                <w:vertAlign w:val="superscript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  <w:t xml:space="preserve"> 的投资容许比例</w:t>
            </w:r>
          </w:p>
        </w:tc>
      </w:tr>
      <w:tr w14:paraId="4B0FAE16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E3860">
            <w:pPr>
              <w:pStyle w:val="15"/>
              <w:spacing w:before="58" w:line="181" w:lineRule="auto"/>
              <w:ind w:left="0" w:leftChars="0" w:firstLine="0" w:firstLineChars="0"/>
              <w:jc w:val="both"/>
              <w:rPr>
                <w:i/>
                <w:iCs/>
                <w:spacing w:val="8"/>
                <w:w w:val="123"/>
              </w:rPr>
            </w:pPr>
            <w:r>
              <w:rPr>
                <w:i/>
                <w:iCs/>
                <w:spacing w:val="20"/>
              </w:rPr>
              <w:t>R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9C59B">
            <w:pPr>
              <w:bidi w:val="0"/>
              <w:ind w:left="0" w:leftChars="0" w:firstLine="0" w:firstLineChars="0"/>
              <w:jc w:val="both"/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7EABC">
            <w:pPr>
              <w:spacing w:before="30" w:line="182" w:lineRule="auto"/>
              <w:ind w:left="0" w:leftChars="0" w:firstLine="0" w:firstLineChars="0"/>
              <w:jc w:val="both"/>
              <w:rPr>
                <w:rFonts w:ascii="宋体" w:hAnsi="宋体" w:eastAsia="宋体" w:cs="宋体"/>
                <w:spacing w:val="-3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最大区域相对预算超额</w:t>
            </w:r>
          </w:p>
        </w:tc>
      </w:tr>
      <w:tr w14:paraId="587B93D9">
        <w:tc>
          <w:tcPr>
            <w:tcW w:w="138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5DF2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both"/>
              <w:textAlignment w:val="baseline"/>
              <w:rPr>
                <w:i/>
                <w:iCs/>
                <w:spacing w:val="8"/>
                <w:w w:val="123"/>
              </w:rPr>
            </w:pPr>
            <w:r>
              <w:rPr>
                <w:i/>
                <w:iCs/>
                <w:spacing w:val="8"/>
                <w:w w:val="123"/>
              </w:rPr>
              <w:t>τ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0405021">
            <w:pPr>
              <w:bidi w:val="0"/>
              <w:ind w:left="0" w:leftChars="0" w:firstLine="0" w:firstLineChars="0"/>
              <w:jc w:val="both"/>
            </w:pPr>
            <w:r>
              <w:t>无量纲</w:t>
            </w:r>
          </w:p>
        </w:tc>
        <w:tc>
          <w:tcPr>
            <w:tcW w:w="56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C78F8DF">
            <w:pPr>
              <w:pStyle w:val="15"/>
              <w:spacing w:before="38" w:line="221" w:lineRule="auto"/>
              <w:ind w:left="0" w:leftChars="0" w:firstLine="0" w:firstLineChars="0"/>
              <w:jc w:val="both"/>
              <w:rPr>
                <w:rFonts w:ascii="宋体" w:hAnsi="宋体" w:eastAsia="宋体" w:cs="宋体"/>
                <w:spacing w:val="-3"/>
                <w:sz w:val="24"/>
                <w:szCs w:val="24"/>
              </w:rPr>
            </w:pPr>
            <w:r>
              <w:rPr>
                <w:spacing w:val="-4"/>
              </w:rPr>
              <w:t>Γ</w:t>
            </w:r>
            <w:r>
              <w:rPr>
                <w:spacing w:val="2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的缩放系数（硬可行半径参数）</w:t>
            </w:r>
          </w:p>
        </w:tc>
      </w:tr>
    </w:tbl>
    <w:p w14:paraId="4BEC985F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6" w:name="_Toc24542"/>
      <w:r>
        <w:t>问题一：多源电量一致性校正</w:t>
      </w:r>
      <w:bookmarkEnd w:id="6"/>
    </w:p>
    <w:p w14:paraId="32C4E304">
      <w:pPr>
        <w:pStyle w:val="3"/>
        <w:numPr>
          <w:ilvl w:val="1"/>
          <w:numId w:val="4"/>
        </w:numPr>
        <w:bidi w:val="0"/>
        <w:ind w:left="567" w:leftChars="0" w:hanging="567" w:firstLineChars="0"/>
      </w:pPr>
      <w:bookmarkStart w:id="7" w:name="_Toc14767"/>
      <w:r>
        <w:t>异常识别</w:t>
      </w:r>
      <w:bookmarkEnd w:id="7"/>
    </w:p>
    <w:p w14:paraId="1EBA41A4">
      <w:pPr>
        <w:bidi w:val="0"/>
      </w:pPr>
      <w:r>
        <w:t>求解调和模型前，先进行不依赖优化器的结构性校验。检查内容包括分部门用电与终端用电的加总关系、月度累加与年度汇总的一致性、通道隐含损耗与工程值的偏差、受端电量是否超过送端电量、容量是否越限， 以及按 5% 终端用电补入缺失区内损耗后的能量平衡标准化残差。以 |</w:t>
      </w:r>
      <w:r>
        <w:rPr>
          <w:i/>
          <w:iCs/>
        </w:rPr>
        <w:t>z</w:t>
      </w:r>
      <w:r>
        <w:t xml:space="preserve">| &gt; 3 为粗差阈值，共标记 23 条记录。最严重的是 2025-09区域 A2，平衡残差为 </w:t>
      </w:r>
      <w:r>
        <w:rPr>
          <w:i/>
          <w:iCs/>
        </w:rPr>
        <w:t>z</w:t>
      </w:r>
      <w:r>
        <w:t xml:space="preserve"> = 32.5，同时缺失该月工业用电和终端用电合计。通道 E03 在 8月的隐含损耗率为 0.175，远高于工程值 0.025 。E10 年度汇总受端电量为 1563.8 GWh，超过送端电量 1559.6 GWh。月度与年度两套系统对 A2 工业用电的记录相差 8.71%。四处月度空值（A7 风电、A4 水电、A2 工业与终端合计）在模型中作为自由变量。</w:t>
      </w:r>
    </w:p>
    <w:p w14:paraId="3B1806F3">
      <w:pPr>
        <w:pStyle w:val="3"/>
        <w:numPr>
          <w:ilvl w:val="1"/>
          <w:numId w:val="4"/>
        </w:numPr>
        <w:bidi w:val="0"/>
      </w:pPr>
      <w:bookmarkStart w:id="8" w:name="_Toc14205"/>
      <w:r>
        <w:t>守恒约束下的标准化 Huber 调和</w:t>
      </w:r>
      <w:bookmarkEnd w:id="8"/>
    </w:p>
    <w:p w14:paraId="3DB7672E">
      <w:pPr>
        <w:bidi w:val="0"/>
        <w:jc w:val="both"/>
        <w:rPr>
          <w:rFonts w:hint="default"/>
          <w:vertAlign w:val="superscript"/>
          <w:lang w:val="en-US"/>
        </w:rPr>
      </w:pPr>
      <w:r>
        <w:rPr>
          <w:rFonts w:ascii="宋体" w:hAnsi="宋体" w:eastAsia="宋体" w:cs="宋体"/>
          <w:spacing w:val="-3"/>
        </w:rPr>
        <w:t>记</w:t>
      </w:r>
      <w:r>
        <w:rPr>
          <w:rFonts w:ascii="宋体" w:hAnsi="宋体" w:eastAsia="宋体" w:cs="宋体"/>
          <w:spacing w:val="-54"/>
        </w:rPr>
        <w:t xml:space="preserve"> </w:t>
      </w:r>
      <w:r>
        <w:rPr>
          <w:b/>
          <w:bCs/>
          <w:i/>
          <w:iCs/>
          <w:spacing w:val="-3"/>
        </w:rPr>
        <w:t>y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为全部待校正量（分源发电、省外输入、分部门用电、通道</w:t>
      </w:r>
      <w:r>
        <w:rPr>
          <w:rFonts w:ascii="宋体" w:hAnsi="宋体" w:eastAsia="宋体" w:cs="宋体"/>
          <w:spacing w:val="-4"/>
        </w:rPr>
        <w:t>送</w:t>
      </w:r>
      <w:r>
        <w:rPr>
          <w:spacing w:val="-4"/>
        </w:rPr>
        <w:t>/</w:t>
      </w:r>
      <w:r>
        <w:rPr>
          <w:rFonts w:ascii="宋体" w:hAnsi="宋体" w:eastAsia="宋体" w:cs="宋体"/>
          <w:spacing w:val="-4"/>
        </w:rPr>
        <w:t>受端电量</w:t>
      </w:r>
      <w:r>
        <w:rPr>
          <w:rFonts w:ascii="宋体" w:hAnsi="宋体" w:eastAsia="宋体" w:cs="宋体"/>
          <w:spacing w:val="1"/>
        </w:rPr>
        <w:t>），</w:t>
      </w:r>
      <w:r>
        <w:rPr>
          <w:i/>
          <w:iCs/>
          <w:spacing w:val="-4"/>
        </w:rPr>
        <w:t>z</w:t>
      </w:r>
      <w:r>
        <w:rPr>
          <w:i/>
          <w:iCs/>
          <w:spacing w:val="-4"/>
          <w:position w:val="-3"/>
          <w:sz w:val="15"/>
          <w:szCs w:val="15"/>
        </w:rPr>
        <w:t>k</w:t>
      </w:r>
      <w:r>
        <w:rPr>
          <w:rFonts w:ascii="宋体" w:hAnsi="宋体" w:eastAsia="宋体" w:cs="宋体"/>
          <w:spacing w:val="2"/>
        </w:rPr>
        <w:t>为观测，</w:t>
      </w:r>
      <w:r>
        <w:rPr>
          <w:i/>
          <w:iCs/>
        </w:rPr>
        <w:t>h</w:t>
      </w:r>
      <w:r>
        <w:rPr>
          <w:i/>
          <w:iCs/>
          <w:position w:val="-3"/>
          <w:sz w:val="15"/>
          <w:szCs w:val="15"/>
        </w:rPr>
        <w:t>k</w:t>
      </w:r>
      <w:r>
        <w:rPr>
          <w:i/>
          <w:iCs/>
          <w:spacing w:val="2"/>
          <w:position w:val="-3"/>
          <w:sz w:val="15"/>
          <w:szCs w:val="15"/>
        </w:rPr>
        <w:t xml:space="preserve"> </w:t>
      </w:r>
      <w:r>
        <w:rPr>
          <w:spacing w:val="2"/>
        </w:rPr>
        <w:t>(</w:t>
      </w:r>
      <w:r>
        <w:rPr>
          <w:b/>
          <w:bCs/>
          <w:i/>
          <w:iCs/>
          <w:spacing w:val="2"/>
        </w:rPr>
        <w:t>y</w:t>
      </w:r>
      <w:r>
        <w:rPr>
          <w:spacing w:val="2"/>
        </w:rPr>
        <w:t>)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2"/>
        </w:rPr>
        <w:t>为对应状态量。对观测残差使用阈值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i/>
          <w:iCs/>
          <w:spacing w:val="2"/>
        </w:rPr>
        <w:t>δ</w:t>
      </w:r>
      <w:r>
        <w:rPr>
          <w:i/>
          <w:iCs/>
          <w:spacing w:val="40"/>
        </w:rPr>
        <w:t xml:space="preserve"> </w:t>
      </w:r>
      <w:r>
        <w:rPr>
          <w:spacing w:val="2"/>
        </w:rPr>
        <w:t>=</w:t>
      </w:r>
      <w:r>
        <w:rPr>
          <w:spacing w:val="42"/>
        </w:rPr>
        <w:t xml:space="preserve"> </w:t>
      </w:r>
      <w:r>
        <w:rPr>
          <w:spacing w:val="2"/>
        </w:rPr>
        <w:t>1</w:t>
      </w:r>
      <w:r>
        <w:rPr>
          <w:i/>
          <w:iCs/>
          <w:spacing w:val="2"/>
        </w:rPr>
        <w:t>.</w:t>
      </w:r>
      <w:r>
        <w:rPr>
          <w:spacing w:val="2"/>
        </w:rPr>
        <w:t>5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2"/>
        </w:rPr>
        <w:t>的标准化</w:t>
      </w:r>
      <w:r>
        <w:rPr>
          <w:rFonts w:ascii="宋体" w:hAnsi="宋体" w:eastAsia="宋体" w:cs="宋体"/>
          <w:spacing w:val="-50"/>
        </w:rPr>
        <w:t xml:space="preserve"> </w:t>
      </w:r>
      <w:r>
        <w:t>Huber</w:t>
      </w: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损失，对</w:t>
      </w:r>
      <w:r>
        <w:rPr>
          <w:rFonts w:ascii="宋体" w:hAnsi="宋体" w:eastAsia="宋体" w:cs="宋体"/>
          <w:spacing w:val="-2"/>
        </w:rPr>
        <w:t>区内损耗与年度工程线损使用二次软先验</w:t>
      </w:r>
      <w:r>
        <w:t xml:space="preserve"> 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_Ref14645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</w:t>
      </w:r>
      <w:r>
        <w:rPr>
          <w:vanish/>
          <w:sz w:val="24"/>
          <w:vertAlign w:val="superscript"/>
        </w:rPr>
        <w:t>]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_Ref14655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-</w:t>
      </w:r>
      <w:r>
        <w:rPr>
          <w:rFonts w:hint="default"/>
          <w:vertAlign w:val="superscript"/>
          <w:lang w:val="en-US"/>
        </w:rPr>
        <w:t>2]</w:t>
      </w:r>
      <w:r>
        <w:rPr>
          <w:rFonts w:hint="default"/>
          <w:vertAlign w:val="superscript"/>
          <w:lang w:val="en-US"/>
        </w:rPr>
        <w:fldChar w:fldCharType="end"/>
      </w:r>
    </w:p>
    <w:p w14:paraId="785A5582">
      <w:pPr>
        <w:bidi w:val="0"/>
        <w:ind w:left="0" w:leftChars="0" w:firstLine="0" w:firstLineChars="0"/>
        <w:jc w:val="both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func>
                <m:func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li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L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k∈O</m:t>
                      </m:r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(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)−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σ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i,t</m:t>
                      </m:r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i,t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−0.05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D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i,t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obs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i,t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e∈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E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+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fPr>
                                <m:num>
                                  <m:nary>
                                    <m:naryPr>
                                      <m:chr m:val="∑"/>
                                      <m:limLoc m:val="subSup"/>
                                      <m:supHide m:val="1"/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rFonts w:ascii="Cambria Math" w:hAnsi="Cambria Math" w:eastAsia="Segoe UI Emoji"/>
                                          <w:sz w:val="24"/>
                                        </w:rPr>
                                      </m:ctrlP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Segoe UI Emoji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Segoe UI Emoji"/>
                                              <w:sz w:val="24"/>
                                            </w:rPr>
                                            <m:t>r</m:t>
                                          </m:r>
                                          <m:ctrlPr>
                                            <w:rPr>
                                              <w:rFonts w:ascii="Cambria Math" w:hAnsi="Cambria Math" w:eastAsia="Segoe UI Emoji"/>
                                              <w:sz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Segoe UI Emoji"/>
                                              <w:sz w:val="24"/>
                                            </w:rPr>
                                            <m:t>e,t</m:t>
                                          </m:r>
                                          <m:ctrlPr>
                                            <w:rPr>
                                              <w:rFonts w:ascii="Cambria Math" w:hAnsi="Cambria Math" w:eastAsia="Segoe UI Emoji"/>
                                              <w:sz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</m:nary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−(1−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η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e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eng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)</m:t>
                                  </m:r>
                                  <m:nary>
                                    <m:naryPr>
                                      <m:chr m:val="∑"/>
                                      <m:limLoc m:val="subSup"/>
                                      <m:supHide m:val="1"/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 w:eastAsia="Segoe UI Emoji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Segoe UI Emoji"/>
                                              <w:sz w:val="24"/>
                                            </w:rPr>
                                            <m:t>s</m:t>
                                          </m:r>
                                          <m:ctrlPr>
                                            <w:rPr>
                                              <w:rFonts w:ascii="Cambria Math" w:hAnsi="Cambria Math" w:eastAsia="Segoe UI Emoji"/>
                                              <w:sz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Segoe UI Emoji"/>
                                              <w:sz w:val="24"/>
                                            </w:rPr>
                                            <m:t>e,t</m:t>
                                          </m:r>
                                          <m:ctrlPr>
                                            <w:rPr>
                                              <w:rFonts w:ascii="Cambria Math" w:hAnsi="Cambria Math" w:eastAsia="Segoe UI Emoji"/>
                                              <w:sz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</m:nary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e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/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  <m:t>η</m:t>
                                      </m:r>
                                      <m:ctrlPr>
                                        <w:rPr>
                                          <w:rFonts w:hint="default" w:ascii="Cambria Math" w:hAnsi="Cambria Math" w:eastAsia="Segoe UI Emoji"/>
                                          <w:sz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Segoe UI Emoji"/>
                          <w:i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Segoe UI Emoji"/>
                  <w:sz w:val="24"/>
                </w:rPr>
                <m:t>,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(2)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6A340841">
      <w:pPr>
        <w:bidi w:val="0"/>
      </w:pPr>
      <w:r>
        <w:t xml:space="preserve">其中 </w:t>
      </w:r>
      <w:r>
        <w:rPr>
          <w:i/>
          <w:iCs/>
        </w:rPr>
        <w:t>ϕ</w:t>
      </w:r>
      <w:r>
        <w:rPr>
          <w:i/>
          <w:iCs/>
          <w:vertAlign w:val="subscript"/>
        </w:rPr>
        <w:t>δ</w:t>
      </w:r>
      <w:r>
        <w:t xml:space="preserve"> (</w:t>
      </w:r>
      <w:r>
        <w:rPr>
          <w:i/>
          <w:iCs/>
        </w:rPr>
        <w:t>u</w:t>
      </w:r>
      <w:r>
        <w:t xml:space="preserve">) = </w:t>
      </w:r>
      <w:r>
        <w:rPr>
          <w:i/>
          <w:iCs/>
        </w:rPr>
        <w:t>u</w:t>
      </w:r>
      <w:r>
        <w:rPr>
          <w:vertAlign w:val="superscript"/>
        </w:rPr>
        <w:t>2</w:t>
      </w:r>
      <w:r>
        <w:t xml:space="preserve"> </w:t>
      </w:r>
      <w:r>
        <w:rPr>
          <w:rFonts w:hint="eastAsia"/>
          <w:lang w:val="en-US" w:eastAsia="zh-CN"/>
        </w:rPr>
        <w:t xml:space="preserve">( | </w:t>
      </w:r>
      <w:r>
        <w:rPr>
          <w:i/>
          <w:iCs/>
        </w:rPr>
        <w:t>u</w:t>
      </w:r>
      <w:r>
        <w:rPr>
          <w:rFonts w:hint="eastAsia"/>
          <w:lang w:val="en-US" w:eastAsia="zh-CN"/>
        </w:rPr>
        <w:t xml:space="preserve"> |</w:t>
      </w:r>
      <w:r>
        <w:t xml:space="preserve"> </w:t>
      </w:r>
      <w:r>
        <w:rPr>
          <w:rFonts w:hint="eastAsia"/>
          <w:lang w:val="en-US" w:eastAsia="zh-CN"/>
        </w:rPr>
        <w:t xml:space="preserve">≤ </w:t>
      </w:r>
      <w:r>
        <w:rPr>
          <w:i/>
          <w:iCs/>
        </w:rPr>
        <w:t>δ</w:t>
      </w:r>
      <w:r>
        <w:t>),否则为 2</w:t>
      </w:r>
      <w:r>
        <w:rPr>
          <w:i/>
          <w:iCs/>
        </w:rPr>
        <w:t>δ</w:t>
      </w:r>
      <w:r>
        <w:t>|</w:t>
      </w:r>
      <w:r>
        <w:rPr>
          <w:i/>
          <w:iCs/>
        </w:rPr>
        <w:t>u</w:t>
      </w:r>
      <w:r>
        <w:t xml:space="preserve">| </w:t>
      </w:r>
      <w:r>
        <w:rPr>
          <w:rFonts w:hint="eastAsia"/>
          <w:lang w:val="en-US" w:eastAsia="zh-CN"/>
        </w:rPr>
        <w:t>-</w:t>
      </w:r>
      <w:r>
        <w:t xml:space="preserve"> </w:t>
      </w:r>
      <w:r>
        <w:rPr>
          <w:i/>
          <w:iCs/>
        </w:rPr>
        <w:t>δ</w:t>
      </w:r>
      <w:r>
        <w:rPr>
          <w:vertAlign w:val="superscript"/>
        </w:rPr>
        <w:t>2</w:t>
      </w:r>
      <w:r>
        <w:t xml:space="preserve"> ；</w:t>
      </w:r>
      <w:r>
        <w:rPr>
          <w:i/>
          <w:iCs/>
        </w:rPr>
        <w:t>E</w:t>
      </w:r>
      <w:r>
        <w:rPr>
          <w:vertAlign w:val="subscript"/>
        </w:rPr>
        <w:t>+</w:t>
      </w:r>
      <w:r>
        <w:t xml:space="preserve">  是有有效流量的通道集合，</w:t>
      </w:r>
      <w:r>
        <w:rPr>
          <w:i/>
          <w:iCs/>
        </w:rPr>
        <w:t>s</w:t>
      </w:r>
      <w:r>
        <w:t xml:space="preserve">, </w:t>
      </w:r>
      <w:r>
        <w:rPr>
          <w:i/>
          <w:iCs/>
        </w:rPr>
        <w:t>r</w:t>
      </w:r>
      <w:r>
        <w:t xml:space="preserve"> 分别为送、受端电量。</w:t>
      </w:r>
      <w:r>
        <w:rPr>
          <w:i/>
          <w:iCs/>
        </w:rPr>
        <w:t>σ</w:t>
      </w:r>
      <w:r>
        <w:rPr>
          <w:i/>
          <w:iCs/>
          <w:vertAlign w:val="subscript"/>
        </w:rPr>
        <w:t>k</w:t>
      </w:r>
      <w:r>
        <w:t xml:space="preserve">  = max(rel</w:t>
      </w:r>
      <w:r>
        <w:rPr>
          <w:i/>
          <w:iCs/>
          <w:vertAlign w:val="subscript"/>
        </w:rPr>
        <w:t>k</w:t>
      </w:r>
      <w:r>
        <w:t xml:space="preserve"> |</w:t>
      </w:r>
      <w:r>
        <w:rPr>
          <w:rFonts w:hint="eastAsia"/>
          <w:lang w:val="en-US" w:eastAsia="zh-CN"/>
        </w:rPr>
        <w:t xml:space="preserve"> </w:t>
      </w:r>
      <w:r>
        <w:rPr>
          <w:i/>
          <w:iCs/>
        </w:rPr>
        <w:t>z</w:t>
      </w:r>
      <w:r>
        <w:rPr>
          <w:i/>
          <w:iCs/>
          <w:vertAlign w:val="subscript"/>
        </w:rPr>
        <w:t>k</w:t>
      </w:r>
      <w:r>
        <w:t xml:space="preserve"> | , </w:t>
      </w:r>
      <w:r>
        <w:rPr>
          <w:i/>
          <w:iCs/>
        </w:rPr>
        <w:t>σ</w:t>
      </w:r>
      <w:r>
        <w:rPr>
          <w:i/>
          <w:iCs/>
          <w:vertAlign w:val="subscript"/>
        </w:rPr>
        <w:t>k</w:t>
      </w:r>
      <w:r>
        <w:t>)，发电/输入/分项用电取 2%，终端合计与年度汇总取 1.5%，通道计量取 2.5%。约束为逐区域逐月能量平衡(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t>1</w:t>
      </w:r>
      <w:r>
        <w:fldChar w:fldCharType="end"/>
      </w:r>
      <w:r>
        <w:t>) 、0 ≤ r ≤ s ≤ 月度容量、非负性和结构性零流量。式(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t>2</w:t>
      </w:r>
      <w:r>
        <w:fldChar w:fldCharType="end"/>
      </w:r>
      <w:r>
        <w:t xml:space="preserve">) 中的表达均为线性项或凸分段二次项，因此一次求解即可，无须将估计得到的 </w:t>
      </w:r>
      <w:r>
        <w:rPr>
          <w:i/>
          <w:iCs/>
        </w:rPr>
        <w:t>η</w:t>
      </w:r>
      <w:r>
        <w:t xml:space="preserve"> 按固定轮数反复回代。求解后按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η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e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/>
          <w:rPr>
            <w:rFonts w:hint="default" w:ascii="Cambria Math" w:hAnsi="Cambria Math" w:eastAsia="Segoe UI Emoji"/>
            <w:sz w:val="24"/>
          </w:rPr>
          <m:t>=1−</m:t>
        </m:r>
        <m:f>
          <m:fPr>
            <m:ctrlPr>
              <w:rPr>
                <w:rFonts w:hint="default" w:ascii="Cambria Math" w:hAnsi="Cambria Math" w:eastAsia="Segoe UI Emoji"/>
                <w:sz w:val="24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t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sub>
              <m:sup>
                <m:ctrlPr>
                  <w:rPr>
                    <w:rFonts w:ascii="Cambria Math" w:hAnsi="Cambria Math" w:eastAsia="Segoe UI Emoji"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eastAsia="Segoe UI Emoji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e,t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</m:nary>
            <m:ctrlPr>
              <w:rPr>
                <w:rFonts w:hint="default" w:ascii="Cambria Math" w:hAnsi="Cambria Math" w:eastAsia="Segoe UI Emoji"/>
                <w:sz w:val="24"/>
              </w:rPr>
            </m:ctrlP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t</m:t>
                </m: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sub>
              <m:sup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eastAsia="Segoe UI Emoji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e,t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</m:nary>
            <m:ctrlPr>
              <w:rPr>
                <w:rFonts w:hint="default" w:ascii="Cambria Math" w:hAnsi="Cambria Math" w:eastAsia="Segoe UI Emoji"/>
                <w:sz w:val="24"/>
              </w:rPr>
            </m:ctrlPr>
          </m:den>
        </m:f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t>统计年度线损。E07 全年无有效流量，无法由数据识别，故保留工程值 0.027。该模型是广义状态估计的稳健版本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vertAlign w:val="superscript"/>
        </w:rPr>
        <w:instrText xml:space="preserve"> REF _Ref15233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[3]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vertAlign w:val="superscript"/>
        </w:rPr>
        <w:instrText xml:space="preserve"> REF _Ref15239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[4]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vertAlign w:val="superscript"/>
        </w:rPr>
        <w:instrText xml:space="preserve"> REF _Ref8814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[6]</w:t>
      </w:r>
      <w:r>
        <w:rPr>
          <w:rFonts w:hint="default"/>
          <w:vertAlign w:val="superscript"/>
          <w:lang w:val="en-US"/>
        </w:rPr>
        <w:fldChar w:fldCharType="end"/>
      </w:r>
      <w:r>
        <w:t xml:space="preserve">，区内 5% 损耗与工程线损仅作为收缩先验。物理约束调和后再追踪排放的方法亦见文献 </w:t>
      </w:r>
      <w:r>
        <w:rPr>
          <w:vertAlign w:val="superscript"/>
        </w:rPr>
        <w:fldChar w:fldCharType="begin"/>
      </w:r>
      <w:r>
        <w:instrText xml:space="preserve"> REF _Ref15376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。</w:t>
      </w:r>
    </w:p>
    <w:p w14:paraId="60F46830">
      <w:pPr>
        <w:bidi w:val="0"/>
      </w:pPr>
      <w:r>
        <w:t xml:space="preserve">上述 </w:t>
      </w:r>
      <w:r>
        <w:rPr>
          <w:rFonts w:hint="eastAsia"/>
          <w:lang w:eastAsia="zh-CN"/>
        </w:rPr>
        <w:t>23 项异常或口径不一致记录</w:t>
      </w:r>
      <w:r>
        <w:t>仅作为诊断标记，不能直接认定为粗差。影响度计算对候选观测施加对称 ±5% 有限差分，基准解与扰动解均采用同一 Huber 模型。区域年度用电变化和线损率变化先分别标准化，再合成为无量纲分数，因而不会直接混合GWh 与线损率，结果也不受人为迭代轮数影响。</w:t>
      </w:r>
    </w:p>
    <w:p w14:paraId="6A19CF8C">
      <w:pPr>
        <w:pStyle w:val="3"/>
        <w:numPr>
          <w:ilvl w:val="1"/>
          <w:numId w:val="4"/>
        </w:numPr>
        <w:bidi w:val="0"/>
        <w:ind w:left="567" w:leftChars="0" w:hanging="567" w:firstLineChars="0"/>
      </w:pPr>
      <w:bookmarkStart w:id="9" w:name="_Toc16639"/>
      <w:r>
        <w:t>校正结果</w:t>
      </w:r>
      <w:bookmarkEnd w:id="9"/>
    </w:p>
    <w:p w14:paraId="1145CB6B">
      <w:pPr>
        <w:bidi w:val="0"/>
      </w:pPr>
      <w:r>
        <w:t>Huber模型达到最优，稳健目标为291.028826。标准化观测残差平方和为102.071576，除以 1274 个观测项得到 0.08011898。该值只是描述性 RSS/</w:t>
      </w:r>
      <w:r>
        <w:rPr>
          <w:i/>
          <w:iCs/>
        </w:rPr>
        <w:t>n</w:t>
      </w:r>
      <w:r>
        <w:t xml:space="preserve">：模型另含106 个先验残差、硬约束、相关观测与估计状态， 不宜当作约化卡方，也不宜据此做拟合优度检验。平衡残差最大 </w:t>
      </w:r>
      <w:r>
        <w:rPr>
          <w:rFonts w:hint="eastAsia"/>
          <w:lang w:eastAsia="zh-CN"/>
        </w:rPr>
        <w:t>4.09</w:t>
      </w:r>
      <w:r>
        <w:t xml:space="preserve"> × 10</w:t>
      </w:r>
      <w:r>
        <w:rPr>
          <w:rFonts w:hint="eastAsia"/>
          <w:vertAlign w:val="superscript"/>
          <w:lang w:val="en-US" w:eastAsia="zh-CN"/>
        </w:rPr>
        <w:t>-</w:t>
      </w:r>
      <w:r>
        <w:rPr>
          <w:vertAlign w:val="superscript"/>
        </w:rPr>
        <w:t>13</w:t>
      </w:r>
      <w:r>
        <w:t xml:space="preserve"> GWh，容量、非负性、</w:t>
      </w:r>
      <w:r>
        <w:rPr>
          <w:i/>
          <w:iCs/>
        </w:rPr>
        <w:t xml:space="preserve">r </w:t>
      </w:r>
      <w:r>
        <w:rPr>
          <w:rFonts w:hint="eastAsia"/>
          <w:i w:val="0"/>
          <w:iCs w:val="0"/>
          <w:lang w:val="en-US" w:eastAsia="zh-CN"/>
        </w:rPr>
        <w:t>≤</w:t>
      </w:r>
      <w:r>
        <w:rPr>
          <w:i/>
          <w:iCs/>
        </w:rPr>
        <w:t xml:space="preserve"> s</w:t>
      </w:r>
      <w:r>
        <w:t xml:space="preserve"> 与结构性零流量均满足。四处缺失插补为 48.15 、68.73、493.62 、881.32 GWh（依次为 A7 风电、A4 水电、A2 工业、</w:t>
      </w:r>
      <w:r>
        <w:rPr>
          <w:rFonts w:hint="eastAsia"/>
          <w:lang w:eastAsia="zh-CN"/>
        </w:rPr>
        <w:t>A2 终端用电合计</w:t>
      </w:r>
      <w:r>
        <w:t>）；全省区内损耗率为 1.742%。E05 年度线损为 0.01675（工程值0.02000），E10 为 0.02777。影响度前三依次是 E10 年度送端汇总、E10 年度受端汇总和2025-08 A4 省外输入，建议优先复核</w:t>
      </w:r>
      <w:r>
        <w:rPr>
          <w:rFonts w:hint="eastAsia"/>
          <w:lang w:eastAsia="zh-CN"/>
        </w:rPr>
        <w:t>年度与月度关口的统计口径</w:t>
      </w:r>
      <w:r>
        <w:t>。</w:t>
      </w:r>
    </w:p>
    <w:p w14:paraId="73A9854A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03775" cy="2924175"/>
            <wp:effectExtent l="0" t="0" r="12065" b="1905"/>
            <wp:docPr id="9" name="图片 9" descr="fig_q1_raw_residual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_q1_raw_residual_heatma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339F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校正前各区域逐月能量平衡标准化残差及边际统计</w:t>
      </w:r>
    </w:p>
    <w:p w14:paraId="732CA4A1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图2中</w:t>
      </w:r>
      <w:r>
        <w:t>色标截断于</w:t>
      </w:r>
      <w:r>
        <w:rPr>
          <w:rFonts w:hint="eastAsia"/>
          <w:lang w:val="en-US" w:eastAsia="zh-CN"/>
        </w:rPr>
        <w:t>±</w:t>
      </w:r>
      <w:r>
        <w:t>6，格内标注 |</w:t>
      </w:r>
      <w:r>
        <w:rPr>
          <w:rFonts w:hint="eastAsia"/>
          <w:lang w:val="en-US" w:eastAsia="zh-CN"/>
        </w:rPr>
        <w:t xml:space="preserve"> </w:t>
      </w:r>
      <w:r>
        <w:rPr>
          <w:i/>
          <w:iCs/>
        </w:rPr>
        <w:t>z</w:t>
      </w:r>
      <w:r>
        <w:rPr>
          <w:rFonts w:hint="eastAsia"/>
          <w:lang w:val="en-US" w:eastAsia="zh-CN"/>
        </w:rPr>
        <w:t xml:space="preserve"> </w:t>
      </w:r>
      <w:r>
        <w:t>| &gt; 3；上缘与右侧分别给出各月、各区的 max |</w:t>
      </w:r>
      <w:r>
        <w:rPr>
          <w:i/>
          <w:iCs/>
        </w:rPr>
        <w:t>z</w:t>
      </w:r>
      <w:r>
        <w:t xml:space="preserve">| ，A2 九月的极端值 </w:t>
      </w:r>
      <w:r>
        <w:rPr>
          <w:i/>
          <w:iCs/>
        </w:rPr>
        <w:t>z</w:t>
      </w:r>
      <w:r>
        <w:t xml:space="preserve"> = 32.5 另以数值标明。</w:t>
      </w:r>
    </w:p>
    <w:p w14:paraId="16DE5FD5">
      <w:pPr>
        <w:spacing w:line="55" w:lineRule="exact"/>
      </w:pPr>
    </w:p>
    <w:p w14:paraId="35B3D893">
      <w:pPr>
        <w:spacing w:line="253" w:lineRule="auto"/>
        <w:ind w:left="0" w:leftChars="0" w:firstLine="0" w:firstLineChars="0"/>
        <w:jc w:val="center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556250" cy="3105785"/>
            <wp:effectExtent l="0" t="0" r="6350" b="3175"/>
            <wp:docPr id="15" name="图片 15" descr="fig_q1_eta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ig_q1_eta_compa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B07D">
      <w:pPr>
        <w:pStyle w:val="5"/>
        <w:spacing w:line="253" w:lineRule="auto"/>
        <w:ind w:left="0" w:leftChars="0" w:firstLine="0" w:firstLineChars="0"/>
        <w:jc w:val="center"/>
        <w:rPr>
          <w:rFonts w:hint="eastAsia" w:ascii="Arial" w:eastAsia="宋体"/>
          <w:sz w:val="21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通道线损率比较</w:t>
      </w:r>
    </w:p>
    <w:p w14:paraId="0571269B">
      <w:pPr>
        <w:pStyle w:val="6"/>
        <w:spacing w:before="78" w:line="220" w:lineRule="auto"/>
        <w:ind w:left="5" w:right="120" w:firstLine="478"/>
        <w:jc w:val="both"/>
      </w:pPr>
      <w:r>
        <w:t xml:space="preserve">图 3 </w:t>
      </w:r>
      <w:r>
        <w:rPr>
          <w:rFonts w:hint="eastAsia"/>
          <w:lang w:val="en-US" w:eastAsia="zh-CN"/>
        </w:rPr>
        <w:t>为</w:t>
      </w:r>
      <w:r>
        <w:t>通道线损率比较。</w:t>
      </w:r>
      <w:r>
        <w:rPr>
          <w:rFonts w:hint="eastAsia"/>
          <w:lang w:val="en-US" w:eastAsia="zh-CN"/>
        </w:rPr>
        <w:t>其中</w:t>
      </w:r>
      <w:r>
        <w:t>空心点为工程记录， 实心点为调和估计， 竖线为原始隐含损耗率。 E05工程值高于估计值， E03 的偏高隐含损耗率经调和后降低， E07 因无有效流量而保留工程值。</w:t>
      </w:r>
    </w:p>
    <w:p w14:paraId="751D24A8">
      <w:pPr>
        <w:bidi w:val="0"/>
      </w:pPr>
      <w:r>
        <w:t>对称扰动后的影响分数见图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t>4</w:t>
      </w:r>
      <w:r>
        <w:fldChar w:fldCharType="end"/>
      </w:r>
      <w:r>
        <w:t>。E10 年度送、受端汇总的影响分数最高， 其次为 A4八月省外输入，说明跨口径关口总量对全网估计结果最敏感。</w:t>
      </w:r>
    </w:p>
    <w:p w14:paraId="7C03A719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67330" cy="2767330"/>
            <wp:effectExtent l="0" t="0" r="1270" b="1270"/>
            <wp:docPr id="1" name="图片 1" descr="fig_q1_infl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_q1_influe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5" w:name="_GoBack"/>
      <w:bookmarkEnd w:id="75"/>
    </w:p>
    <w:p w14:paraId="3C2F6BC8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对称扰动后的影响分数</w:t>
      </w:r>
    </w:p>
    <w:p w14:paraId="7FC4DC5C">
      <w:pPr>
        <w:bidi w:val="0"/>
      </w:pPr>
      <w:r>
        <w:rPr>
          <w:rFonts w:hint="eastAsia"/>
          <w:lang w:val="en-US" w:eastAsia="zh-CN"/>
        </w:rPr>
        <w:t>图中</w:t>
      </w:r>
      <w:r>
        <w:t>关键观测在对称</w:t>
      </w:r>
      <w:r>
        <w:rPr>
          <w:rFonts w:hint="eastAsia"/>
          <w:lang w:val="en-US" w:eastAsia="zh-CN"/>
        </w:rPr>
        <w:t>±</w:t>
      </w:r>
      <w:r>
        <w:t>5%扰动下的综合影响分数。矩形面积正比于影响分数， 其中E10 年度送、受端汇总所占面积最大。</w:t>
      </w:r>
    </w:p>
    <w:p w14:paraId="1F97B325">
      <w:pPr>
        <w:pStyle w:val="5"/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Huber与WLS的清洁数据一致性及污染稳健性</w:t>
      </w:r>
    </w:p>
    <w:tbl>
      <w:tblPr>
        <w:tblStyle w:val="12"/>
        <w:tblW w:w="9018" w:type="dxa"/>
        <w:tblInd w:w="1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505"/>
        <w:gridCol w:w="1611"/>
        <w:gridCol w:w="1597"/>
        <w:gridCol w:w="1735"/>
        <w:gridCol w:w="1754"/>
      </w:tblGrid>
      <w:tr w14:paraId="7C91C805">
        <w:tc>
          <w:tcPr>
            <w:tcW w:w="8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525864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方法</w:t>
            </w:r>
          </w:p>
        </w:tc>
        <w:tc>
          <w:tcPr>
            <w:tcW w:w="15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76EB61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清洁 RSS/</w:t>
            </w:r>
            <w:r>
              <w:rPr>
                <w:i/>
                <w:iCs/>
              </w:rPr>
              <w:t>n</w:t>
            </w:r>
          </w:p>
        </w:tc>
        <w:tc>
          <w:tcPr>
            <w:tcW w:w="161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1F3426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状态差异 RMSE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7C9F8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污染平均 RMSE</w:t>
            </w:r>
          </w:p>
        </w:tc>
        <w:tc>
          <w:tcPr>
            <w:tcW w:w="173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99290A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用电最大变化</w:t>
            </w:r>
          </w:p>
        </w:tc>
        <w:tc>
          <w:tcPr>
            <w:tcW w:w="175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BDD80B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线损最大变化</w:t>
            </w:r>
          </w:p>
        </w:tc>
      </w:tr>
      <w:tr w14:paraId="29EE5DB0">
        <w:tc>
          <w:tcPr>
            <w:tcW w:w="816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287A74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Huber</w:t>
            </w:r>
          </w:p>
        </w:tc>
        <w:tc>
          <w:tcPr>
            <w:tcW w:w="150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575B2B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0.080119</w:t>
            </w:r>
          </w:p>
        </w:tc>
        <w:tc>
          <w:tcPr>
            <w:tcW w:w="1611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91F33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</w:t>
            </w:r>
          </w:p>
        </w:tc>
        <w:tc>
          <w:tcPr>
            <w:tcW w:w="1597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7B9B08D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0.038782</w:t>
            </w:r>
          </w:p>
        </w:tc>
        <w:tc>
          <w:tcPr>
            <w:tcW w:w="173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7319BA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0.164%</w:t>
            </w:r>
          </w:p>
        </w:tc>
        <w:tc>
          <w:tcPr>
            <w:tcW w:w="1754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5027ED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0.00333</w:t>
            </w:r>
          </w:p>
        </w:tc>
      </w:tr>
      <w:tr w14:paraId="4C33A0E6">
        <w:tc>
          <w:tcPr>
            <w:tcW w:w="8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BC87C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WLS</w:t>
            </w:r>
          </w:p>
        </w:tc>
        <w:tc>
          <w:tcPr>
            <w:tcW w:w="15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F4C0D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0.078737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C0186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0.003509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EA2526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0.045085</w:t>
            </w:r>
          </w:p>
        </w:tc>
        <w:tc>
          <w:tcPr>
            <w:tcW w:w="173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8BBF5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0.313%</w:t>
            </w:r>
          </w:p>
        </w:tc>
        <w:tc>
          <w:tcPr>
            <w:tcW w:w="175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1F0FA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/>
                <w:lang w:eastAsia="zh-CN"/>
              </w:rPr>
            </w:pPr>
            <w:r>
              <w:t>0.00528</w:t>
            </w:r>
          </w:p>
        </w:tc>
      </w:tr>
    </w:tbl>
    <w:p w14:paraId="5BF8DF3D">
      <w:pPr>
        <w:bidi w:val="0"/>
        <w:rPr>
          <w:rFonts w:hint="eastAsia"/>
          <w:lang w:eastAsia="zh-CN"/>
        </w:rPr>
      </w:pPr>
      <w:r>
        <w:t>在清洁数据上，两种方法的状态归一化 RMSE 为 0.003509，说明稳健化没有明显改变正常观测下的估计结果。六类确定性污染实验中，WLS 与 Huber 的平均状态 RMSE之比为 1.1625，且 WLS 的年度用电与线损最大变化均较大。因此， 本文依据污染条件下的稳定性选择 Huber，而不是依据清洁数据上的 RSS/</w:t>
      </w:r>
      <w:r>
        <w:rPr>
          <w:i/>
          <w:iCs/>
        </w:rPr>
        <w:t>n</w:t>
      </w:r>
      <w:r>
        <w:t>，后者由 WLS 略占优势。</w:t>
      </w:r>
    </w:p>
    <w:p w14:paraId="085FD18E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10" w:name="_Toc28070"/>
      <w:r>
        <w:t>问题二：碳流追踪与责任分担</w:t>
      </w:r>
      <w:bookmarkEnd w:id="10"/>
    </w:p>
    <w:p w14:paraId="188B3F51">
      <w:pPr>
        <w:pStyle w:val="3"/>
        <w:numPr>
          <w:ilvl w:val="1"/>
          <w:numId w:val="5"/>
        </w:numPr>
        <w:bidi w:val="0"/>
      </w:pPr>
      <w:bookmarkStart w:id="11" w:name="_Toc22107"/>
      <w:r>
        <w:t>节点碳势</w:t>
      </w:r>
      <w:bookmarkEnd w:id="11"/>
    </w:p>
    <w:p w14:paraId="5953B7F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cs="宋体"/>
          <w:spacing w:val="-1"/>
          <w:sz w:val="24"/>
          <w:szCs w:val="24"/>
          <w:lang w:eastAsia="zh-CN"/>
        </w:rPr>
      </w:pPr>
      <w:r>
        <w:rPr>
          <w:spacing w:val="1"/>
        </w:rPr>
        <w:t>在校正后的电量网络上，设节点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i</w:t>
      </w:r>
      <w:r>
        <w:rPr>
          <w:rFonts w:ascii="Times New Roman" w:hAnsi="Times New Roman" w:eastAsia="Times New Roman" w:cs="Times New Roman"/>
          <w:i/>
          <w:iCs/>
          <w:spacing w:val="29"/>
          <w:w w:val="101"/>
        </w:rPr>
        <w:t xml:space="preserve"> </w:t>
      </w:r>
      <w:r>
        <w:rPr>
          <w:spacing w:val="1"/>
        </w:rPr>
        <w:t>的总入流能量为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Q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i/>
          <w:iCs/>
          <w:spacing w:val="-11"/>
          <w:position w:val="-3"/>
          <w:sz w:val="15"/>
          <w:szCs w:val="15"/>
        </w:rPr>
        <w:t xml:space="preserve"> </w:t>
      </w:r>
      <w:r>
        <w:rPr>
          <w:spacing w:val="1"/>
        </w:rPr>
        <w:t>（本地四类电源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 xml:space="preserve">+ </w:t>
      </w:r>
      <w:r>
        <w:rPr>
          <w:spacing w:val="1"/>
        </w:rPr>
        <w:t>省外输入</w:t>
      </w:r>
      <w:r>
        <w:t xml:space="preserve"> </w:t>
      </w:r>
      <w:r>
        <w:rPr>
          <w:rFonts w:ascii="Times New Roman" w:hAnsi="Times New Roman" w:eastAsia="Times New Roman" w:cs="Times New Roman"/>
          <w:spacing w:val="-14"/>
        </w:rPr>
        <w:t xml:space="preserve">+ </w:t>
      </w:r>
      <w:r>
        <w:rPr>
          <w:spacing w:val="-14"/>
        </w:rPr>
        <w:t>通道到达电量）。比例共享假定：节点一旦混合，所有出流（负荷、损耗、外送） 携带</w:t>
      </w:r>
      <w:r>
        <w:rPr>
          <w:spacing w:val="-1"/>
        </w:rPr>
        <w:t>同一碳势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ρ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position w:val="-3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i/>
          <w:iCs/>
          <w:spacing w:val="-1"/>
          <w:position w:val="-3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  <w:vertAlign w:val="superscript"/>
        </w:rPr>
        <w:fldChar w:fldCharType="begin"/>
      </w:r>
      <w:r>
        <w:rPr>
          <w:vertAlign w:val="superscript"/>
        </w:rPr>
        <w:instrText xml:space="preserve"> REF _Ref16927 \r \h  \* MERGEFORMAT</w:instrText>
      </w:r>
      <w:r>
        <w:rPr>
          <w:rFonts w:ascii="Times New Roman" w:hAnsi="Times New Roman" w:eastAsia="Times New Roman" w:cs="Times New Roman"/>
          <w:spacing w:val="-1"/>
          <w:vertAlign w:val="superscript"/>
        </w:rPr>
        <w:fldChar w:fldCharType="separate"/>
      </w:r>
      <w:r>
        <w:rPr>
          <w:rFonts w:ascii="Times New Roman" w:hAnsi="Times New Roman" w:eastAsia="Times New Roman" w:cs="Times New Roman"/>
          <w:spacing w:val="-1"/>
          <w:vertAlign w:val="superscript"/>
        </w:rPr>
        <w:t>[6</w:t>
      </w:r>
      <w:r>
        <w:rPr>
          <w:rFonts w:ascii="Times New Roman" w:hAnsi="Times New Roman" w:eastAsia="Times New Roman" w:cs="Times New Roman"/>
          <w:vanish/>
          <w:spacing w:val="-1"/>
          <w:sz w:val="24"/>
          <w:vertAlign w:val="superscript"/>
        </w:rPr>
        <w:t>]</w:t>
      </w:r>
      <w:r>
        <w:rPr>
          <w:rFonts w:ascii="Times New Roman" w:hAnsi="Times New Roman" w:eastAsia="Times New Roman" w:cs="Times New Roman"/>
          <w:spacing w:val="-1"/>
          <w:vertAlign w:val="superscript"/>
        </w:rPr>
        <w:fldChar w:fldCharType="end"/>
      </w:r>
      <w:r>
        <w:rPr>
          <w:rFonts w:hint="default" w:ascii="Times New Roman" w:hAnsi="Times New Roman" w:eastAsia="Times New Roman" w:cs="Times New Roman"/>
          <w:spacing w:val="-1"/>
          <w:vertAlign w:val="superscript"/>
          <w:lang w:val="en-US"/>
        </w:rPr>
        <w:fldChar w:fldCharType="begin"/>
      </w:r>
      <w:r>
        <w:instrText xml:space="preserve"> REF _Ref16931 \r \h  \* MERGEFORMAT</w:instrText>
      </w:r>
      <w:r>
        <w:rPr>
          <w:rFonts w:hint="default" w:ascii="Times New Roman" w:hAnsi="Times New Roman" w:eastAsia="Times New Roman" w:cs="Times New Roman"/>
          <w:spacing w:val="-1"/>
          <w:vertAlign w:val="superscript"/>
          <w:lang w:val="en-US"/>
        </w:rPr>
        <w:fldChar w:fldCharType="separate"/>
      </w:r>
      <w:r>
        <w:rPr>
          <w:rFonts w:hint="eastAsia" w:cs="Times New Roman"/>
          <w:spacing w:val="-1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Times New Roman" w:cs="Times New Roman"/>
          <w:spacing w:val="-1"/>
          <w:vertAlign w:val="superscript"/>
          <w:lang w:val="en-US"/>
        </w:rPr>
        <w:t>7]</w:t>
      </w:r>
      <w:r>
        <w:rPr>
          <w:rFonts w:hint="default" w:ascii="Times New Roman" w:hAnsi="Times New Roman" w:eastAsia="Times New Roman" w:cs="Times New Roman"/>
          <w:spacing w:val="-1"/>
          <w:vertAlign w:val="superscript"/>
          <w:lang w:val="en-US"/>
        </w:rPr>
        <w:fldChar w:fldCharType="end"/>
      </w:r>
      <w:r>
        <w:rPr>
          <w:spacing w:val="-1"/>
        </w:rPr>
        <w:t>。以送端承担通道损耗碳为主口径，到达受端的电量只携带</w:t>
      </w:r>
      <w:r>
        <w:rPr>
          <w:spacing w:val="-2"/>
        </w:rPr>
        <w:t>送端碳势</w:t>
      </w:r>
      <w:r>
        <w:rPr>
          <w:rFonts w:hint="eastAsia"/>
          <w:spacing w:val="-2"/>
          <w:lang w:eastAsia="zh-CN"/>
        </w:rPr>
        <w:t>，</w:t>
      </w:r>
      <w:r>
        <w:rPr>
          <w:rFonts w:ascii="宋体" w:hAnsi="宋体" w:eastAsia="宋体" w:cs="宋体"/>
          <w:spacing w:val="-1"/>
          <w:sz w:val="24"/>
          <w:szCs w:val="24"/>
        </w:rPr>
        <w:t>损耗碳留在送端台账。碳势满足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：</w:t>
      </w:r>
    </w:p>
    <w:p w14:paraId="424519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baseline"/>
        <w:rPr>
          <w:rFonts w:hint="default" w:hAnsi="Cambria Math"/>
          <w:b w:val="0"/>
          <w:bCs w:val="0"/>
          <w:i w:val="0"/>
          <w:iCs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b w:val="0"/>
                  <w:bCs w:val="0"/>
                  <w:i w:val="0"/>
                  <w:iCs/>
                  <w:sz w:val="24"/>
                  <w:lang w:val="en-US" w:eastAsia="zh-CN"/>
                </w:rPr>
              </m:ctrlPr>
            </m:eqArr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(diag(</m:t>
              </m:r>
              <m:r>
                <m:rPr>
                  <m:sty m:val="bi"/>
                </m:rPr>
                <w:rPr>
                  <w:rFonts w:hint="default" w:ascii="Cambria Math" w:hAnsi="Cambria Math" w:eastAsia="Segoe UI Emoji"/>
                  <w:sz w:val="24"/>
                </w:rPr>
                <m:t>Q</m:t>
              </m:r>
              <m:r>
                <m:rPr/>
                <w:rPr>
                  <w:rFonts w:hint="default" w:ascii="Cambria Math" w:hAnsi="Cambria Math" w:eastAsia="Segoe UI Emoji"/>
                  <w:sz w:val="24"/>
                </w:rPr>
                <m:t>)−</m:t>
              </m:r>
              <m:r>
                <m:rPr>
                  <m:sty m:val="bi"/>
                </m:rPr>
                <w:rPr>
                  <w:rFonts w:hint="default" w:ascii="Cambria Math" w:hAnsi="Cambria Math" w:eastAsia="Segoe UI Emoji"/>
                  <w:sz w:val="24"/>
                </w:rPr>
                <m:t>C</m:t>
              </m:r>
              <m:r>
                <m:rPr/>
                <w:rPr>
                  <w:rFonts w:hint="default" w:ascii="Cambria Math" w:hAnsi="Cambria Math" w:eastAsia="Segoe UI Emoji"/>
                  <w:sz w:val="24"/>
                </w:rPr>
                <m:t>)</m:t>
              </m:r>
              <m:r>
                <m:rPr>
                  <m:sty m:val="bi"/>
                </m:rPr>
                <w:rPr>
                  <w:rFonts w:hint="default" w:ascii="Cambria Math" w:hAnsi="Cambria Math" w:eastAsia="Segoe UI Emoji"/>
                  <w:sz w:val="24"/>
                </w:rPr>
                <m:t>ρ</m:t>
              </m:r>
              <m:r>
                <m:rPr/>
                <w:rPr>
                  <w:rFonts w:hint="default" w:ascii="Cambria Math" w:hAnsi="Cambria Math" w:eastAsia="Segoe UI Emoji"/>
                  <w:sz w:val="24"/>
                </w:rPr>
                <m:t>=</m:t>
              </m:r>
              <m:r>
                <m:rPr>
                  <m:sty m:val="bi"/>
                </m:rPr>
                <w:rPr>
                  <w:rFonts w:hint="default" w:ascii="Cambria Math" w:hAnsi="Cambria Math" w:eastAsia="Segoe UI Emoji"/>
                  <w:sz w:val="24"/>
                </w:rPr>
                <m:t>b</m:t>
              </m:r>
              <m:r>
                <m:rPr/>
                <w:rPr>
                  <w:rFonts w:hint="default" w:ascii="Cambria Math" w:hAnsi="Cambria Math" w:eastAsia="Segoe UI Emoji"/>
                  <w:sz w:val="24"/>
                </w:rPr>
                <m:t>,</m:t>
              </m:r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 w:eastAsia="Segoe UI Emoji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24"/>
                  <w:lang w:val="en-US" w:eastAsia="zh-CN"/>
                </w:rPr>
                <m:t>(3)</m:t>
              </m:r>
              <m:ctrlPr>
                <w:rPr>
                  <w:rFonts w:hint="default" w:hAnsi="Cambria Math"/>
                  <w:b w:val="0"/>
                  <w:bCs w:val="0"/>
                  <w:i w:val="0"/>
                  <w:iCs/>
                  <w:sz w:val="24"/>
                  <w:lang w:val="en-US" w:eastAsia="zh-CN"/>
                </w:rPr>
              </m:ctrlPr>
            </m:e>
          </m:eqArr>
        </m:oMath>
      </m:oMathPara>
    </w:p>
    <w:p w14:paraId="5622818B">
      <w:pPr>
        <w:bidi w:val="0"/>
        <w:ind w:left="0" w:leftChars="0" w:firstLine="0" w:firstLineChars="0"/>
      </w:pPr>
    </w:p>
    <w:p w14:paraId="35A7183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0" w:line="240" w:lineRule="auto"/>
        <w:ind w:left="6" w:hanging="1"/>
        <w:jc w:val="both"/>
        <w:textAlignment w:val="baseline"/>
      </w:pPr>
      <w:r>
        <w:t>其中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C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i</w:t>
      </w:r>
      <w:r>
        <w:rPr>
          <w:rFonts w:hint="eastAsia" w:cs="Times New Roman"/>
          <w:b/>
          <w:bCs/>
          <w:i/>
          <w:iCs/>
          <w:position w:val="-3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j</w:t>
      </w:r>
      <w:r>
        <w:rPr>
          <w:spacing w:val="2"/>
        </w:rPr>
        <w:t>为</w:t>
      </w:r>
      <w:r>
        <w:rPr>
          <w:rFonts w:hint="eastAsia"/>
          <w:spacing w:val="2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>j</w:t>
      </w:r>
      <w:r>
        <w:rPr>
          <w:rFonts w:hint="eastAsia" w:ascii="宋体" w:hAnsi="宋体" w:eastAsia="宋体" w:cs="宋体"/>
          <w:i w:val="0"/>
          <w:iCs w:val="0"/>
          <w:spacing w:val="2"/>
        </w:rPr>
        <w:t>→</w:t>
      </w:r>
      <w:r>
        <w:rPr>
          <w:rFonts w:ascii="Times New Roman" w:hAnsi="Times New Roman" w:eastAsia="Times New Roman" w:cs="Times New Roman"/>
          <w:i/>
          <w:iCs/>
          <w:spacing w:val="2"/>
        </w:rPr>
        <w:t>i</w:t>
      </w:r>
      <w:r>
        <w:t>到达电量，</w:t>
      </w:r>
      <w:r>
        <w:rPr>
          <w:rFonts w:ascii="Times New Roman" w:hAnsi="Times New Roman" w:eastAsia="Times New Roman" w:cs="Times New Roman"/>
          <w:i/>
          <w:iCs/>
        </w:rPr>
        <w:t>b</w:t>
      </w:r>
      <w:r>
        <w:rPr>
          <w:rFonts w:ascii="Times New Roman" w:hAnsi="Times New Roman" w:eastAsia="Times New Roman" w:cs="Times New Roman"/>
          <w:i/>
          <w:iCs/>
          <w:position w:val="-3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i/>
          <w:iCs/>
          <w:spacing w:val="2"/>
          <w:position w:val="-3"/>
          <w:sz w:val="15"/>
          <w:szCs w:val="15"/>
        </w:rPr>
        <w:t xml:space="preserve"> </w:t>
      </w:r>
      <w:r>
        <w:t>为节点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>i</w:t>
      </w:r>
      <w:r>
        <w:t>本地发电与省外输入注入的碳量。(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t>3</w:t>
      </w:r>
      <w:r>
        <w:fldChar w:fldCharType="end"/>
      </w:r>
      <w:r>
        <w:t>) 逐月为 8×8线性方程组。</w:t>
      </w:r>
      <w:r>
        <w:rPr>
          <w:rFonts w:hint="eastAsia"/>
          <w:lang w:eastAsia="zh-CN"/>
        </w:rPr>
        <w:t>在同一比例共享结构下，以各类注入能量为右端项，一次求得来源份额；所得份额不再额外除以 Qi</w:t>
      </w:r>
      <w:r>
        <w:rPr>
          <w:spacing w:val="1"/>
        </w:rPr>
        <w:t>。</w:t>
      </w:r>
      <w:r>
        <w:t>省外输入按接入区分列的份额矩阵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S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i</w:t>
      </w:r>
      <w:r>
        <w:rPr>
          <w:rFonts w:hint="eastAsia" w:cs="Times New Roman"/>
          <w:b/>
          <w:bCs/>
          <w:i/>
          <w:iCs/>
          <w:position w:val="-3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i/>
          <w:iCs/>
          <w:spacing w:val="1"/>
          <w:position w:val="-3"/>
          <w:sz w:val="15"/>
          <w:szCs w:val="15"/>
        </w:rPr>
        <w:t xml:space="preserve">  </w:t>
      </w:r>
      <w:r>
        <w:t>供问题四使用</w:t>
      </w:r>
      <w:r>
        <w:rPr>
          <w:spacing w:val="1"/>
        </w:rPr>
        <w:t>。</w:t>
      </w:r>
    </w:p>
    <w:p w14:paraId="5A6B1BEB">
      <w:pPr>
        <w:pStyle w:val="3"/>
        <w:numPr>
          <w:ilvl w:val="1"/>
          <w:numId w:val="5"/>
        </w:numPr>
        <w:bidi w:val="0"/>
        <w:ind w:left="567" w:leftChars="0" w:hanging="567" w:firstLineChars="0"/>
      </w:pPr>
      <w:bookmarkStart w:id="12" w:name="_Toc12720"/>
      <w:r>
        <w:t>三种责任口径与Shapley</w:t>
      </w:r>
      <w:bookmarkEnd w:id="12"/>
    </w:p>
    <w:p w14:paraId="4E7D6A14">
      <w:pPr>
        <w:pStyle w:val="6"/>
        <w:spacing w:before="100" w:line="221" w:lineRule="auto"/>
        <w:ind w:left="6" w:right="130" w:firstLine="480"/>
        <w:rPr>
          <w:rFonts w:ascii="Times New Roman" w:hAnsi="Times New Roman" w:eastAsia="Times New Roman" w:cs="Times New Roman"/>
          <w:spacing w:val="-2"/>
        </w:rPr>
      </w:pPr>
      <w:r>
        <w:rPr>
          <w:spacing w:val="-1"/>
        </w:rPr>
        <w:t>扩展生产责任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P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position w:val="-6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b/>
          <w:bCs/>
          <w:spacing w:val="-1"/>
          <w:position w:val="9"/>
          <w:sz w:val="15"/>
          <w:szCs w:val="15"/>
        </w:rPr>
        <w:t>+</w:t>
      </w:r>
      <w:r>
        <w:rPr>
          <w:rFonts w:hint="eastAsia" w:eastAsia="SimSun" w:cs="Times New Roman"/>
          <w:b/>
          <w:bCs/>
          <w:spacing w:val="-1"/>
          <w:position w:val="9"/>
          <w:sz w:val="15"/>
          <w:szCs w:val="15"/>
          <w:lang w:val="en-US" w:eastAsia="zh-CN"/>
        </w:rPr>
        <w:t xml:space="preserve"> </w:t>
      </w:r>
      <w:r>
        <w:rPr>
          <w:rFonts w:hint="eastAsia"/>
          <w:spacing w:val="-1"/>
          <w:lang w:val="en-US" w:eastAsia="zh-CN"/>
        </w:rPr>
        <w:t>等于</w:t>
      </w:r>
      <w:r>
        <w:rPr>
          <w:spacing w:val="-1"/>
        </w:rPr>
        <w:t>本地发电碳</w:t>
      </w:r>
      <w:r>
        <w:rPr>
          <w:rFonts w:hint="eastAsia"/>
          <w:spacing w:val="-1"/>
          <w:lang w:val="en-US" w:eastAsia="zh-CN"/>
        </w:rPr>
        <w:t>排放与</w:t>
      </w:r>
      <w:r>
        <w:rPr>
          <w:spacing w:val="-1"/>
        </w:rPr>
        <w:t>该区接入的省外输入碳</w:t>
      </w:r>
      <w:r>
        <w:rPr>
          <w:rFonts w:hint="eastAsia"/>
          <w:spacing w:val="-1"/>
          <w:lang w:val="en-US" w:eastAsia="zh-CN"/>
        </w:rPr>
        <w:t>排放之和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_Ref18103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[10]</w:t>
      </w:r>
      <w:r>
        <w:rPr>
          <w:rFonts w:hint="default"/>
          <w:vertAlign w:val="superscript"/>
          <w:lang w:val="en-US"/>
        </w:rPr>
        <w:fldChar w:fldCharType="end"/>
      </w:r>
      <w:r>
        <w:rPr>
          <w:spacing w:val="-1"/>
        </w:rPr>
        <w:t>。全口径消费责任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</w:rPr>
        <w:t>C</w:t>
      </w:r>
      <w:r>
        <w:rPr>
          <w:rFonts w:ascii="Times New Roman" w:hAnsi="Times New Roman" w:eastAsia="Times New Roman" w:cs="Times New Roman"/>
          <w:i/>
          <w:iCs/>
          <w:spacing w:val="-1"/>
          <w:position w:val="-6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spacing w:val="-1"/>
          <w:position w:val="9"/>
          <w:sz w:val="15"/>
          <w:szCs w:val="15"/>
        </w:rPr>
        <w:t>+</w:t>
      </w:r>
      <w:r>
        <w:rPr>
          <w:rFonts w:hint="eastAsia"/>
          <w:spacing w:val="-1"/>
        </w:rPr>
        <w:t>包括终端用电碳排放、区内损耗碳排放和送端承担的通道损耗碳排放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begin"/>
      </w:r>
      <w:r>
        <w:rPr>
          <w:rFonts w:ascii="Times New Roman" w:hAnsi="Times New Roman" w:eastAsia="Times New Roman" w:cs="Times New Roman"/>
          <w:spacing w:val="-2"/>
          <w:vertAlign w:val="superscript"/>
        </w:rPr>
        <w:instrText xml:space="preserve"> REF _Ref18492 \r \h </w:instrTex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vertAlign w:val="superscript"/>
        </w:rPr>
        <w:t>[11]</w: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end"/>
      </w:r>
      <w:r>
        <w:rPr>
          <w:spacing w:val="-2"/>
        </w:rPr>
        <w:t>。线性共担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begin"/>
      </w:r>
      <w:r>
        <w:rPr>
          <w:vertAlign w:val="superscript"/>
        </w:rPr>
        <w:instrText xml:space="preserve"> REF _Ref18563 \r \h  \* MERGEFORMAT</w:instrTex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begin"/>
      </w:r>
      <w:r>
        <w:instrText xml:space="preserve"> REF _Ref18563 \r \h  \* MERGEFORMAT</w:instrTex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vertAlign w:val="superscript"/>
        </w:rPr>
        <w:t>[12</w:t>
      </w:r>
      <w:r>
        <w:rPr>
          <w:rFonts w:ascii="Times New Roman" w:hAnsi="Times New Roman" w:eastAsia="Times New Roman" w:cs="Times New Roman"/>
          <w:vanish/>
          <w:spacing w:val="-2"/>
          <w:sz w:val="24"/>
          <w:vertAlign w:val="superscript"/>
        </w:rPr>
        <w:t>]</w: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end"/>
      </w:r>
      <w:r>
        <w:rPr>
          <w:rFonts w:ascii="Times New Roman" w:hAnsi="Times New Roman" w:eastAsia="Times New Roman" w:cs="Times New Roman"/>
          <w:vanish/>
          <w:spacing w:val="-2"/>
          <w:sz w:val="24"/>
          <w:vertAlign w:val="superscript"/>
        </w:rPr>
        <w:t>]</w:t>
      </w:r>
      <w:r>
        <w:rPr>
          <w:rFonts w:ascii="Times New Roman" w:hAnsi="Times New Roman" w:eastAsia="Times New Roman" w:cs="Times New Roman"/>
          <w:spacing w:val="-2"/>
          <w:vertAlign w:val="superscript"/>
        </w:rPr>
        <w:fldChar w:fldCharType="end"/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fldChar w:fldCharType="begin"/>
      </w:r>
      <w:r>
        <w:instrText xml:space="preserve"> REF _Ref18570 \r \h  \* MERGEFORMAT</w:instrText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fldChar w:fldCharType="separate"/>
      </w:r>
      <w:r>
        <w:rPr>
          <w:rFonts w:hint="eastAsia" w:cs="Times New Roman"/>
          <w:spacing w:val="-2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instrText xml:space="preserve"> REF _Ref18570 \r \h </w:instrText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t>13]</w:t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fldChar w:fldCharType="end"/>
      </w:r>
      <w:r>
        <w:rPr>
          <w:rFonts w:hint="default" w:ascii="Times New Roman" w:hAnsi="Times New Roman" w:eastAsia="Times New Roman" w:cs="Times New Roman"/>
          <w:spacing w:val="-2"/>
          <w:vertAlign w:val="superscript"/>
          <w:lang w:val="en-US"/>
        </w:rPr>
        <w:fldChar w:fldCharType="end"/>
      </w:r>
    </w:p>
    <w:p w14:paraId="4F991F8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line="240" w:lineRule="auto"/>
        <w:ind w:right="130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R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(λ)=λ</m:t>
              </m:r>
              <m:sSubSup>
                <m:sSubSup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P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+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egoe UI Emoji"/>
                  <w:sz w:val="24"/>
                </w:rPr>
                <m:t>+(1−λ)</m:t>
              </m:r>
              <m:sSubSup>
                <m:sSubSup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C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+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egoe UI Emoji"/>
                  <w:sz w:val="24"/>
                </w:rPr>
                <m:t>, λ∈{0.3,</m:t>
              </m:r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 xml:space="preserve"> </m:t>
              </m:r>
              <m:r>
                <m:rPr/>
                <w:rPr>
                  <w:rFonts w:hint="default" w:ascii="Cambria Math" w:hAnsi="Cambria Math" w:eastAsia="Segoe UI Emoji"/>
                  <w:sz w:val="24"/>
                </w:rPr>
                <m:t>0.5,</m:t>
              </m:r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 xml:space="preserve"> </m:t>
              </m:r>
              <m:r>
                <m:rPr/>
                <w:rPr>
                  <w:rFonts w:hint="default" w:ascii="Cambria Math" w:hAnsi="Cambria Math" w:eastAsia="Segoe UI Emoji"/>
                  <w:sz w:val="24"/>
                </w:rPr>
                <m:t>0.7}</m:t>
              </m:r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.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(4)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435E5422">
      <w:pPr>
        <w:pStyle w:val="6"/>
        <w:spacing w:before="171" w:line="306" w:lineRule="exact"/>
        <w:ind w:left="25"/>
      </w:pPr>
      <w:r>
        <w:t>因</w:t>
      </w:r>
      <w:r>
        <w:rPr>
          <w:rFonts w:hint="eastAsia"/>
          <w:lang w:val="en-US" w:eastAsia="zh-CN"/>
        </w:rPr>
        <w:t xml:space="preserve"> </w:t>
      </w:r>
      <m:oMath>
        <m:nary>
          <m:naryPr>
            <m:chr m:val="∑"/>
            <m:limLoc m:val="subSup"/>
            <m:subHide m:val="1"/>
            <m:supHide m:val="1"/>
            <m:ctrlPr>
              <w:rPr>
                <w:rFonts w:hint="default" w:ascii="Cambria Math" w:hAnsi="Cambria Math" w:eastAsia="Segoe UI Emoji"/>
                <w:sz w:val="24"/>
              </w:rPr>
            </m:ctrlPr>
          </m:naryPr>
          <m:sub>
            <m:ctrlPr>
              <w:rPr>
                <w:rFonts w:ascii="Cambria Math" w:hAnsi="Cambria Math" w:eastAsia="Segoe UI Emoji"/>
                <w:sz w:val="24"/>
              </w:rPr>
            </m:ctrlPr>
          </m:sub>
          <m:sup>
            <m:ctrlPr>
              <w:rPr>
                <w:rFonts w:ascii="Cambria Math" w:hAnsi="Cambria Math" w:eastAsia="Segoe UI Emoji"/>
                <w:sz w:val="24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P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+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egoe UI Emoji"/>
                <w:sz w:val="24"/>
              </w:rPr>
            </m:ctrlPr>
          </m:e>
        </m:nary>
        <m:r>
          <m:rPr/>
          <w:rPr>
            <w:rFonts w:hint="default" w:ascii="Cambria Math" w:hAnsi="Cambria Math" w:eastAsia="Segoe UI Emoji"/>
            <w:sz w:val="24"/>
          </w:rPr>
          <m:t>=</m:t>
        </m:r>
        <m:nary>
          <m:naryPr>
            <m:chr m:val="∑"/>
            <m:limLoc m:val="subSup"/>
            <m:subHide m:val="1"/>
            <m:supHide m:val="1"/>
            <m:ctrlPr>
              <w:rPr>
                <w:rFonts w:hint="default" w:ascii="Cambria Math" w:hAnsi="Cambria Math" w:eastAsia="Segoe UI Emoji"/>
                <w:sz w:val="24"/>
              </w:rPr>
            </m:ctrlPr>
          </m:naryPr>
          <m:sub>
            <m:ctrlPr>
              <w:rPr>
                <w:rFonts w:hint="default" w:ascii="Cambria Math" w:hAnsi="Cambria Math" w:eastAsia="Segoe UI Emoji"/>
                <w:sz w:val="24"/>
              </w:rPr>
            </m:ctrlPr>
          </m:sub>
          <m:sup>
            <m:ctrlPr>
              <w:rPr>
                <w:rFonts w:hint="default" w:ascii="Cambria Math" w:hAnsi="Cambria Math" w:eastAsia="Segoe UI Emoji"/>
                <w:sz w:val="24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C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+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Segoe UI Emoji"/>
                <w:sz w:val="24"/>
              </w:rPr>
            </m:ctrlPr>
          </m:e>
        </m:nary>
      </m:oMath>
      <w:r>
        <w:t>，任意λ下全省总量守恒。另构造通道碳转移博弈：记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F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b/>
          <w:bCs/>
          <w:i/>
          <w:iCs/>
          <w:spacing w:val="-18"/>
          <w:position w:val="-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b/>
          <w:bCs/>
          <w:i/>
          <w:iCs/>
          <w:spacing w:val="10"/>
          <w:position w:val="-3"/>
          <w:sz w:val="15"/>
          <w:szCs w:val="15"/>
        </w:rPr>
        <w:t>→</w:t>
      </w:r>
      <w:r>
        <w:rPr>
          <w:rFonts w:hint="eastAsia" w:ascii="微软雅黑" w:hAnsi="微软雅黑" w:eastAsia="微软雅黑" w:cs="微软雅黑"/>
          <w:b/>
          <w:bCs/>
          <w:i/>
          <w:iCs/>
          <w:spacing w:val="10"/>
          <w:position w:val="-3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10"/>
          <w:position w:val="-3"/>
          <w:sz w:val="15"/>
          <w:szCs w:val="15"/>
        </w:rPr>
        <w:t>i</w:t>
      </w:r>
      <w:r>
        <w:t>为到达电量乘送端碳势，</w:t>
      </w:r>
    </w:p>
    <w:p w14:paraId="164628B2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1" w:line="240" w:lineRule="auto"/>
        <w:ind w:left="0" w:leftChars="0" w:firstLine="0" w:firstLineChars="0"/>
        <w:textAlignment w:val="baseline"/>
        <w:rPr>
          <w:rFonts w:hint="default" w:hAnsi="Cambria Math"/>
          <w:b w:val="0"/>
          <w:i w:val="0"/>
          <w:sz w:val="24"/>
          <w:lang w:val="en-US" w:eastAsia="zh-C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hint="default" w:hAnsi="Cambria Math"/>
                  <w:b w:val="0"/>
                  <w:i w:val="0"/>
                  <w:sz w:val="24"/>
                  <w:lang w:val="en-US" w:eastAsia="zh-CN"/>
                </w:rPr>
              </m:ctrlPr>
            </m:eqArr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v(S)=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i∈S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+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24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j∉S,</m:t>
                  </m:r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 xml:space="preserve"> </m:t>
                  </m:r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i∈S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F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j→i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####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(5)</m:t>
              </m:r>
              <m:ctrlPr>
                <w:rPr>
                  <w:rFonts w:hint="default" w:hAnsi="Cambria Math"/>
                  <w:b w:val="0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4DE96B6F">
      <w:pPr>
        <w:bidi w:val="0"/>
      </w:pPr>
      <w:r>
        <w:t>八个区域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rFonts w:ascii="Times New Roman" w:hAnsi="Times New Roman" w:eastAsia="Times New Roman" w:cs="Times New Roman"/>
          <w:spacing w:val="5"/>
          <w:position w:val="8"/>
          <w:szCs w:val="15"/>
        </w:rPr>
        <w:t>8</w:t>
      </w:r>
      <w:r>
        <w:rPr>
          <w:rFonts w:ascii="Times New Roman" w:hAnsi="Times New Roman" w:eastAsia="Times New Roman" w:cs="Times New Roman"/>
          <w:spacing w:val="5"/>
        </w:rPr>
        <w:t>=256</w:t>
      </w:r>
      <w:r>
        <w:t>个联盟可精确枚举Shapley值</w:t>
      </w:r>
      <w:r>
        <w:rPr>
          <w:rFonts w:ascii="Times New Roman" w:hAnsi="Times New Roman" w:eastAsia="Times New Roman" w:cs="Times New Roman"/>
          <w:i/>
          <w:iCs/>
          <w:spacing w:val="5"/>
        </w:rPr>
        <w:t>φ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position w:val="-3"/>
          <w:szCs w:val="15"/>
        </w:rPr>
        <w:t>i</w:t>
      </w:r>
      <w:r>
        <w:rPr>
          <w:rFonts w:ascii="Times New Roman" w:hAnsi="Times New Roman" w:eastAsia="Times New Roman" w:cs="Times New Roman"/>
          <w:b/>
          <w:bCs/>
          <w:i/>
          <w:iCs/>
          <w:spacing w:val="-6"/>
          <w:position w:val="-3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5"/>
          <w:vertAlign w:val="superscript"/>
        </w:rPr>
        <w:fldChar w:fldCharType="begin"/>
      </w:r>
      <w:r>
        <w:instrText xml:space="preserve"> REF _Ref18668 \r \h  \* MERGEFORMAT</w:instrText>
      </w:r>
      <w:r>
        <w:rPr>
          <w:rFonts w:ascii="Times New Roman" w:hAnsi="Times New Roman" w:eastAsia="Times New Roman" w:cs="Times New Roman"/>
          <w:spacing w:val="5"/>
          <w:vertAlign w:val="superscript"/>
        </w:rPr>
        <w:fldChar w:fldCharType="separate"/>
      </w:r>
      <w:r>
        <w:rPr>
          <w:rFonts w:ascii="Times New Roman" w:hAnsi="Times New Roman" w:eastAsia="Times New Roman" w:cs="Times New Roman"/>
          <w:spacing w:val="5"/>
          <w:vertAlign w:val="superscript"/>
        </w:rPr>
        <w:t>[14]</w:t>
      </w:r>
      <w:r>
        <w:rPr>
          <w:rFonts w:ascii="Times New Roman" w:hAnsi="Times New Roman" w:eastAsia="Times New Roman" w:cs="Times New Roman"/>
          <w:spacing w:val="5"/>
          <w:vertAlign w:val="superscript"/>
        </w:rPr>
        <w:fldChar w:fldCharType="end"/>
      </w:r>
      <w:r>
        <w:rPr>
          <w:spacing w:val="5"/>
        </w:rPr>
        <w:t>。</w:t>
      </w:r>
      <w:r>
        <w:rPr>
          <w:lang w:val="en-US" w:eastAsia="zh-CN"/>
        </w:rPr>
        <w:t>该特征函数将每条跨区</w:t>
      </w:r>
      <w:r>
        <w:rPr>
          <w:rFonts w:hint="default"/>
          <w:lang w:val="en-US" w:eastAsia="zh-CN"/>
        </w:rPr>
        <w:t xml:space="preserve">转移的边际量平均分配给送、受两端，因此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=(</m:t>
        </m:r>
        <m:sSubSup>
          <m:sSubSup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lang w:val="en-US" w:eastAsia="zh-CN"/>
          </w:rPr>
          <m:t>+</m:t>
        </m:r>
        <m:sSubSup>
          <m:sSubSup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lang w:val="en-US" w:eastAsia="zh-CN"/>
          </w:rPr>
          <m:t>)/2</m:t>
        </m:r>
      </m:oMath>
      <w:r>
        <w:rPr>
          <w:rFonts w:hint="default"/>
          <w:lang w:val="en-US" w:eastAsia="zh-CN"/>
        </w:rPr>
        <w:t xml:space="preserve"> 是结构恒等式，数值上与 </w:t>
      </w:r>
      <w:r>
        <w:rPr>
          <w:rFonts w:hint="default"/>
          <w:i/>
          <w:iCs/>
          <w:lang w:val="en-US" w:eastAsia="zh-CN"/>
        </w:rPr>
        <w:t xml:space="preserve">λ </w:t>
      </w:r>
      <w:r>
        <w:rPr>
          <w:rFonts w:hint="default"/>
          <w:lang w:val="en-US" w:eastAsia="zh-CN"/>
        </w:rPr>
        <w:t>= 0.5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致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两位小数下个别</w:t>
      </w:r>
      <w:r>
        <w:rPr>
          <w:lang w:val="en-US" w:eastAsia="zh-CN"/>
        </w:rPr>
        <w:t>0.01kt</w:t>
      </w:r>
      <w:r>
        <w:rPr>
          <w:rFonts w:hint="default"/>
          <w:lang w:val="en-US" w:eastAsia="zh-CN"/>
        </w:rPr>
        <w:t>的差异来自舍入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。本文将其称为“五五共担的 Shapley 表示”。这一结果只适用于</w:t>
      </w:r>
      <w:r>
        <w:rPr>
          <w:rFonts w:hint="eastAsia"/>
          <w:lang w:val="en-US" w:eastAsia="zh-CN"/>
        </w:rPr>
        <w:t>公</w:t>
      </w:r>
      <w:r>
        <w:rPr>
          <w:rFonts w:hint="default"/>
          <w:lang w:val="en-US" w:eastAsia="zh-CN"/>
        </w:rPr>
        <w:t xml:space="preserve">式(5)定义的特征函数，不能据此判定 </w:t>
      </w:r>
      <w:r>
        <w:rPr>
          <w:rFonts w:hint="default"/>
          <w:i/>
          <w:iCs/>
          <w:lang w:val="en-US" w:eastAsia="zh-CN"/>
        </w:rPr>
        <w:t>λ</w:t>
      </w:r>
      <w:r>
        <w:rPr>
          <w:rFonts w:hint="default"/>
          <w:lang w:val="en-US" w:eastAsia="zh-CN"/>
        </w:rPr>
        <w:t xml:space="preserve"> = 0.5 是政策上唯一的公平权重。</w:t>
      </w:r>
    </w:p>
    <w:p w14:paraId="12DFB57D">
      <w:pPr>
        <w:pStyle w:val="3"/>
        <w:numPr>
          <w:ilvl w:val="1"/>
          <w:numId w:val="5"/>
        </w:numPr>
        <w:bidi w:val="0"/>
        <w:ind w:left="567" w:leftChars="0" w:hanging="567" w:firstLineChars="0"/>
      </w:pPr>
      <w:bookmarkStart w:id="13" w:name="_Toc31494"/>
      <w:r>
        <w:t>追踪结果</w:t>
      </w:r>
      <w:bookmarkEnd w:id="13"/>
    </w:p>
    <w:p w14:paraId="5DDEC51E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 xml:space="preserve">2025 年全省生产口径与消费全口径排放均为 </w:t>
      </w:r>
      <w:r>
        <w:rPr>
          <w:rFonts w:hint="default"/>
          <w:lang w:val="en-US" w:eastAsia="zh-CN"/>
        </w:rPr>
        <w:t>35883.78 kt，未舍入责任守恒误差为 0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CSV 按两位小数汇总时相差 0.01 kt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。终端碳强度以 A4 最高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0.62399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 xml:space="preserve">、A5 最低 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0.15217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。图5呈现两类季节特征：A1、A3、A4、A6 全年保持高位，A5、A7、A8 在夏 季下降。A3 的消费责任为 5435.60 kt，是扩展生产责任 1015.92 kt 的 5.35 倍；其消费电 量中省外输入占 48.45%，其中 46.96 个百分点经 A4 接入。</w:t>
      </w:r>
      <w:r>
        <w:rPr>
          <w:rFonts w:hint="eastAsia"/>
          <w:lang w:val="en-US" w:eastAsia="zh-CN"/>
        </w:rPr>
        <w:t>最大通道碳流 A4→A3 的点估计为 4366.34 kt</w:t>
      </w:r>
      <w:r>
        <w:rPr>
          <w:rFonts w:hint="default"/>
          <w:lang w:val="en-US" w:eastAsia="zh-CN"/>
        </w:rPr>
        <w:t>，其次为 A4→A2 的 969.19 kt 和 A6→A8 的 777.98 kt。这一结果与省内“碳 外包”格局一致</w:t>
      </w:r>
      <w:r>
        <w:rPr>
          <w:rFonts w:hint="default"/>
          <w:vertAlign w:val="superscript"/>
          <w:lang w:val="en-US" w:eastAsia="zh-CN"/>
        </w:rPr>
        <w:fldChar w:fldCharType="begin"/>
      </w:r>
      <w:r>
        <w:instrText xml:space="preserve"> REF _Ref18740 \r \h  \* MERGEFORMAT</w:instrText>
      </w:r>
      <w:r>
        <w:rPr>
          <w:rFonts w:hint="default"/>
          <w:vertAlign w:val="superscript"/>
          <w:lang w:val="en-US" w:eastAsia="zh-CN"/>
        </w:rPr>
        <w:fldChar w:fldCharType="separate"/>
      </w:r>
      <w:r>
        <w:rPr>
          <w:rFonts w:hint="default"/>
          <w:vertAlign w:val="superscript"/>
          <w:lang w:val="en-US" w:eastAsia="zh-CN"/>
        </w:rPr>
        <w:t>[15]</w:t>
      </w:r>
      <w:r>
        <w:rPr>
          <w:rFonts w:hint="default"/>
          <w:vertAlign w:val="superscrip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。生产侧口径会低估受电区责任，消费侧口径则无法体现送端枢纽 的生产责任。本文以 </w:t>
      </w:r>
      <w:r>
        <w:rPr>
          <w:i/>
          <w:iCs/>
          <w:lang w:val="en-US" w:eastAsia="zh-CN"/>
        </w:rPr>
        <w:t>λ</w:t>
      </w:r>
      <w:r>
        <w:rPr>
          <w:lang w:val="en-US" w:eastAsia="zh-CN"/>
        </w:rPr>
        <w:t xml:space="preserve"> = 0</w:t>
      </w:r>
      <w:r>
        <w:rPr>
          <w:rFonts w:hint="default"/>
          <w:lang w:val="en-US" w:eastAsia="zh-CN"/>
        </w:rPr>
        <w:t>.5 作为协商基准，同时报告 0.3 和 0.7 两种权重下的结果。</w:t>
      </w:r>
    </w:p>
    <w:p w14:paraId="34AE9489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95825" cy="2778760"/>
            <wp:effectExtent l="0" t="0" r="13335" b="10160"/>
            <wp:docPr id="21" name="图片 21" descr="fig_q2_rho_month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ig_q2_rho_monthl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5DE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各区域 2025 年逐月节点碳势气泡矩阵（送端承担口径）</w:t>
      </w:r>
    </w:p>
    <w:p w14:paraId="4ED55E34">
      <w:pPr>
        <w:bidi w:val="0"/>
      </w:pPr>
      <w:r>
        <w:rPr>
          <w:rFonts w:hint="eastAsia"/>
          <w:lang w:val="en-US" w:eastAsia="zh-CN"/>
        </w:rPr>
        <w:t>图5中</w:t>
      </w:r>
      <w:r>
        <w:rPr>
          <w:lang w:val="en-US" w:eastAsia="zh-CN"/>
        </w:rPr>
        <w:t xml:space="preserve">圆面积与颜色表示碳势；A1 </w:t>
      </w:r>
      <w:r>
        <w:rPr>
          <w:rFonts w:hint="default"/>
          <w:lang w:val="en-US" w:eastAsia="zh-CN"/>
        </w:rPr>
        <w:t>至 A4、A6 全年高位，A5、A7、A8 夏季气泡明显缩小。</w:t>
      </w:r>
    </w:p>
    <w:p w14:paraId="09CF4344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图6</w:t>
      </w:r>
      <w:r>
        <w:rPr>
          <w:rFonts w:hint="default"/>
          <w:lang w:val="en-US" w:eastAsia="zh-CN"/>
        </w:rPr>
        <w:t>给出强度差异的来源。A5、A7的本地清洁电量占比分别为82.35%和78.48%，其中水电分别为 72.68%和 56.52</w:t>
      </w:r>
      <w:r>
        <w:rPr>
          <w:rFonts w:hint="default"/>
          <w:i w:val="0"/>
          <w:iCs w:val="0"/>
          <w:lang w:val="en-US" w:eastAsia="zh-CN"/>
        </w:rPr>
        <w:t>%</w:t>
      </w:r>
      <w:r>
        <w:rPr>
          <w:rFonts w:hint="default"/>
          <w:lang w:val="en-US" w:eastAsia="zh-CN"/>
        </w:rPr>
        <w:t>；两地碳势在丰水期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4至8月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明显走低，年初和年末再回升。A1、A6的省外输入占比分别为69.44%和71.27%，其强度主要随接入电源结构变化。A2火电占比49.80%，12月碳势升至0.67196，为八区最高单月。</w:t>
      </w:r>
    </w:p>
    <w:p w14:paraId="58D0B017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8685" cy="2667635"/>
            <wp:effectExtent l="0" t="0" r="5715" b="14605"/>
            <wp:docPr id="22" name="图片 22" descr="fig_q2_origin_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fig_q2_origin_mi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1CAF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各区域终端用电来源的马赛克图</w:t>
      </w:r>
    </w:p>
    <w:p w14:paraId="4895C45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图6中</w:t>
      </w:r>
      <w:r>
        <w:rPr>
          <w:lang w:val="en-US" w:eastAsia="zh-CN"/>
        </w:rPr>
        <w:t xml:space="preserve">列宽正比于 2025 </w:t>
      </w:r>
      <w:r>
        <w:rPr>
          <w:rFonts w:hint="default"/>
          <w:lang w:val="en-US" w:eastAsia="zh-CN"/>
        </w:rPr>
        <w:t>年用电量，块高为来源份额；A5/A7以水电为主，A1/A4/A6以省外输入为主。</w:t>
      </w:r>
    </w:p>
    <w:p w14:paraId="70C1EA8E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图7</w:t>
      </w:r>
      <w:r>
        <w:rPr>
          <w:rFonts w:hint="default"/>
          <w:lang w:val="en-US" w:eastAsia="zh-CN"/>
        </w:rPr>
        <w:t>把同一分解拆到月份：A5/A7 的水电份额在 4 至 8 月抬升，火电与输入被挤出，与碳势夏季低谷同相；A2/A4 各月火电加输入始终占主导，所以碳势全年高位。图8用冲积图汇总来源到消费区的能量去向：省外输入主要进入 A1/A4/A6，水电集中供给A5/A7。</w:t>
      </w:r>
    </w:p>
    <w:p w14:paraId="1368B18B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7085" cy="3283585"/>
            <wp:effectExtent l="0" t="0" r="635" b="8255"/>
            <wp:docPr id="23" name="图片 23" descr="fig_q2_seasonal_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ig_q2_seasonal_mi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9E3E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典型区域逐月电源结构对称流图</w:t>
      </w:r>
    </w:p>
    <w:p w14:paraId="2E4416E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图7中</w:t>
      </w:r>
      <w:r>
        <w:rPr>
          <w:lang w:val="en-US" w:eastAsia="zh-CN"/>
        </w:rPr>
        <w:t xml:space="preserve">带宽正比于终端电量、中线为零；A5/A7 </w:t>
      </w:r>
      <w:r>
        <w:rPr>
          <w:rFonts w:hint="default"/>
          <w:lang w:val="en-US" w:eastAsia="zh-CN"/>
        </w:rPr>
        <w:t>丰水期水电带变宽，A2 火电、A4 省外输入全年占优。</w:t>
      </w:r>
    </w:p>
    <w:p w14:paraId="7DA01818">
      <w:pPr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81195" cy="2797175"/>
            <wp:effectExtent l="0" t="0" r="14605" b="6985"/>
            <wp:docPr id="24" name="图片 24" descr="fig_q2_san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ig_q2_sankey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B11">
      <w:pPr>
        <w:pStyle w:val="5"/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2025年电源来源与消费区能量冲积图</w:t>
      </w:r>
    </w:p>
    <w:p w14:paraId="46C354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图8中</w:t>
      </w:r>
      <w:r>
        <w:rPr>
          <w:lang w:val="en-US" w:eastAsia="zh-CN"/>
        </w:rPr>
        <w:t>带宽度正比于电量；省外输入流向 A1/A4/A6</w:t>
      </w:r>
      <w:r>
        <w:rPr>
          <w:rFonts w:hint="default"/>
          <w:lang w:val="en-US" w:eastAsia="zh-CN"/>
        </w:rPr>
        <w:t>，水电流向 A5/A7。</w:t>
      </w:r>
    </w:p>
    <w:p w14:paraId="652C8D3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231" w:lineRule="auto"/>
        <w:ind w:left="0" w:leftChars="0" w:firstLine="0" w:firstLineChars="0"/>
        <w:jc w:val="center"/>
        <w:textAlignment w:val="baseline"/>
        <w:rPr>
          <w:rFonts w:hint="eastAsia" w:ascii="Times New Roman" w:hAnsi="Times New Roman" w:eastAsia="宋体" w:cs="Times New Roman"/>
          <w:spacing w:val="7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pacing w:val="7"/>
          <w:sz w:val="21"/>
          <w:szCs w:val="21"/>
          <w:lang w:eastAsia="zh-CN"/>
        </w:rPr>
        <w:drawing>
          <wp:inline distT="0" distB="0" distL="114300" distR="114300">
            <wp:extent cx="4540250" cy="4574540"/>
            <wp:effectExtent l="0" t="0" r="1270" b="12700"/>
            <wp:docPr id="4" name="图片 4" descr="fig_q2_carbon_flow_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_q2_carbon_flow_network"/>
                    <pic:cNvPicPr>
                      <a:picLocks noChangeAspect="1"/>
                    </pic:cNvPicPr>
                  </pic:nvPicPr>
                  <pic:blipFill>
                    <a:blip r:embed="rId16"/>
                    <a:srcRect b="6535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A5E0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231" w:lineRule="auto"/>
        <w:ind w:left="0" w:lef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2025 年区域间电力碳流与净责任格局</w:t>
      </w:r>
    </w:p>
    <w:p w14:paraId="6D5690FE">
      <w:pPr>
        <w:ind w:left="0" w:leftChars="0" w:firstLine="500" w:firstLineChars="0"/>
      </w:pPr>
      <w:r>
        <w:rPr>
          <w:rFonts w:hint="eastAsia"/>
          <w:lang w:val="en-US" w:eastAsia="zh-CN"/>
        </w:rPr>
        <w:t>图9中</w:t>
      </w:r>
      <w:r>
        <w:t>箭头宽度正比于到达碳量</w:t>
      </w:r>
      <w:r>
        <w:rPr>
          <w:i/>
          <w:iCs/>
        </w:rPr>
        <w:t xml:space="preserve"> F</w:t>
      </w:r>
      <w:r>
        <w:rPr>
          <w:b/>
          <w:bCs/>
          <w:i/>
          <w:iCs/>
          <w:vertAlign w:val="subscript"/>
        </w:rPr>
        <w:t>j →</w:t>
      </w:r>
      <w:r>
        <w:rPr>
          <w:rFonts w:hint="eastAsia"/>
          <w:b/>
          <w:bCs/>
          <w:i/>
          <w:iCs/>
          <w:vertAlign w:val="subscript"/>
          <w:lang w:val="en-US" w:eastAsia="zh-CN"/>
        </w:rPr>
        <w:t xml:space="preserve"> </w:t>
      </w:r>
      <w:r>
        <w:rPr>
          <w:b/>
          <w:bCs/>
          <w:i/>
          <w:iCs/>
          <w:vertAlign w:val="subscript"/>
        </w:rPr>
        <w:t>i</w:t>
      </w:r>
      <w:r>
        <w:t>（ktCO</w:t>
      </w:r>
      <w:r>
        <w:rPr>
          <w:vertAlign w:val="subscript"/>
        </w:rPr>
        <w:t>2</w:t>
      </w:r>
      <w:r>
        <w:t xml:space="preserve">）；节点颜色为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hint="default" w:ascii="Cambria Math" w:hAnsi="Cambria Math"/>
            <w:lang w:val="en-US" w:eastAsia="zh-CN"/>
          </w:rPr>
          <m:t>−</m:t>
        </m:r>
        <m:sSubSup>
          <m:sSubSup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</m:sSubSup>
      </m:oMath>
      <w:r>
        <w:t xml:space="preserve"> （红 = 净转入）。主路径为 A4→ A3 </w:t>
      </w:r>
      <w:r>
        <w:rPr>
          <w:rFonts w:hint="eastAsia"/>
          <w:lang w:val="en-US" w:eastAsia="zh-CN"/>
        </w:rPr>
        <w:t>(</w:t>
      </w:r>
      <w:r>
        <w:t>4374 kt</w:t>
      </w:r>
      <w:r>
        <w:rPr>
          <w:rFonts w:hint="eastAsia"/>
          <w:lang w:val="en-US" w:eastAsia="zh-CN"/>
        </w:rPr>
        <w:t>)</w:t>
      </w:r>
      <w:r>
        <w:t>。</w:t>
      </w:r>
    </w:p>
    <w:p w14:paraId="60244215">
      <w:pPr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655185" cy="2724150"/>
            <wp:effectExtent l="0" t="0" r="8255" b="3810"/>
            <wp:docPr id="25" name="图片 25" descr="fig_q2_respons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ig_q2_responsibilit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BB4">
      <w:pPr>
        <w:pStyle w:val="5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四种口径下的区域碳排放责任热力图（2025）</w:t>
      </w:r>
    </w:p>
    <w:p w14:paraId="796CC6CE">
      <w:pPr>
        <w:bidi w:val="0"/>
        <w:rPr>
          <w:rFonts w:hint="default"/>
          <w:lang w:val="en-US" w:eastAsia="zh-CN"/>
        </w:rPr>
      </w:pPr>
      <w:r>
        <w:rPr>
          <w:i/>
          <w:iCs/>
          <w:lang w:val="en-US" w:eastAsia="zh-CN"/>
        </w:rPr>
        <w:t>λ</w:t>
      </w:r>
      <w:r>
        <w:rPr>
          <w:lang w:val="en-US" w:eastAsia="zh-CN"/>
        </w:rPr>
        <w:t xml:space="preserve"> = 0</w:t>
      </w:r>
      <w:r>
        <w:rPr>
          <w:rFonts w:hint="default"/>
          <w:lang w:val="en-US" w:eastAsia="zh-CN"/>
        </w:rPr>
        <w:t xml:space="preserve">.5 </w:t>
      </w:r>
      <w:r>
        <w:rPr>
          <w:lang w:val="en-US" w:eastAsia="zh-CN"/>
        </w:rPr>
        <w:t xml:space="preserve">与 Shapley </w:t>
      </w:r>
      <w:r>
        <w:rPr>
          <w:rFonts w:hint="default"/>
          <w:lang w:val="en-US" w:eastAsia="zh-CN"/>
        </w:rPr>
        <w:t>两列数值重合，源于</w:t>
      </w:r>
      <w:r>
        <w:rPr>
          <w:rFonts w:hint="eastAsia"/>
          <w:lang w:val="en-US" w:eastAsia="zh-CN"/>
        </w:rPr>
        <w:t>公</w:t>
      </w:r>
      <w:r>
        <w:rPr>
          <w:rFonts w:hint="default"/>
          <w:lang w:val="en-US" w:eastAsia="zh-CN"/>
        </w:rPr>
        <w:t>式(5)的结构恒等式；A4 为净转出、A3 为净转入。</w:t>
      </w:r>
    </w:p>
    <w:p w14:paraId="6968B791">
      <w:pPr>
        <w:pStyle w:val="5"/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2025 年区域碳排放责任与 Shapley 共担（ktCO2）</w:t>
      </w:r>
    </w:p>
    <w:tbl>
      <w:tblPr>
        <w:tblStyle w:val="14"/>
        <w:tblW w:w="8940" w:type="dxa"/>
        <w:tblInd w:w="5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618"/>
        <w:gridCol w:w="1612"/>
        <w:gridCol w:w="1469"/>
        <w:gridCol w:w="1606"/>
        <w:gridCol w:w="1611"/>
      </w:tblGrid>
      <w:tr w14:paraId="4AFA5EC2">
        <w:trPr>
          <w:trHeight w:val="570" w:hRule="atLeast"/>
        </w:trPr>
        <w:tc>
          <w:tcPr>
            <w:tcW w:w="1024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24C742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区域</w:t>
            </w:r>
          </w:p>
        </w:tc>
        <w:tc>
          <w:tcPr>
            <w:tcW w:w="1618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36FF2B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P+</w:t>
            </w:r>
          </w:p>
        </w:tc>
        <w:tc>
          <w:tcPr>
            <w:tcW w:w="1612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5644F8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C+</w:t>
            </w:r>
          </w:p>
        </w:tc>
        <w:tc>
          <w:tcPr>
            <w:tcW w:w="1469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0796F0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λ = 0.3</w:t>
            </w:r>
          </w:p>
        </w:tc>
        <w:tc>
          <w:tcPr>
            <w:tcW w:w="1606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160FA3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λ = 0.5</w:t>
            </w:r>
          </w:p>
        </w:tc>
        <w:tc>
          <w:tcPr>
            <w:tcW w:w="1611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5CC504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Shapley</w:t>
            </w:r>
          </w:p>
        </w:tc>
      </w:tr>
      <w:tr w14:paraId="3406F273">
        <w:trPr>
          <w:trHeight w:val="462" w:hRule="atLeast"/>
        </w:trPr>
        <w:tc>
          <w:tcPr>
            <w:tcW w:w="1024" w:type="dxa"/>
            <w:tcBorders>
              <w:top w:val="single" w:color="000000" w:sz="6" w:space="0"/>
            </w:tcBorders>
            <w:vAlign w:val="center"/>
          </w:tcPr>
          <w:p w14:paraId="6F0577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A1</w:t>
            </w:r>
          </w:p>
        </w:tc>
        <w:tc>
          <w:tcPr>
            <w:tcW w:w="1618" w:type="dxa"/>
            <w:tcBorders>
              <w:top w:val="single" w:color="000000" w:sz="6" w:space="0"/>
            </w:tcBorders>
            <w:vAlign w:val="center"/>
          </w:tcPr>
          <w:p w14:paraId="40E3DE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8864.13</w:t>
            </w:r>
          </w:p>
        </w:tc>
        <w:tc>
          <w:tcPr>
            <w:tcW w:w="1612" w:type="dxa"/>
            <w:tcBorders>
              <w:top w:val="single" w:color="000000" w:sz="6" w:space="0"/>
            </w:tcBorders>
            <w:vAlign w:val="center"/>
          </w:tcPr>
          <w:p w14:paraId="3AD341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8933.65</w:t>
            </w:r>
          </w:p>
        </w:tc>
        <w:tc>
          <w:tcPr>
            <w:tcW w:w="1469" w:type="dxa"/>
            <w:tcBorders>
              <w:top w:val="single" w:color="000000" w:sz="6" w:space="0"/>
            </w:tcBorders>
            <w:vAlign w:val="center"/>
          </w:tcPr>
          <w:p w14:paraId="3DD4C2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8912.79</w:t>
            </w:r>
          </w:p>
        </w:tc>
        <w:tc>
          <w:tcPr>
            <w:tcW w:w="1606" w:type="dxa"/>
            <w:tcBorders>
              <w:top w:val="single" w:color="000000" w:sz="6" w:space="0"/>
            </w:tcBorders>
            <w:vAlign w:val="center"/>
          </w:tcPr>
          <w:p w14:paraId="0136B5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8898.89</w:t>
            </w:r>
          </w:p>
        </w:tc>
        <w:tc>
          <w:tcPr>
            <w:tcW w:w="1611" w:type="dxa"/>
            <w:tcBorders>
              <w:top w:val="single" w:color="000000" w:sz="6" w:space="0"/>
            </w:tcBorders>
            <w:vAlign w:val="center"/>
          </w:tcPr>
          <w:p w14:paraId="00BE00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8898.89</w:t>
            </w:r>
          </w:p>
        </w:tc>
      </w:tr>
      <w:tr w14:paraId="7A9579CB">
        <w:trPr>
          <w:trHeight w:val="407" w:hRule="atLeast"/>
        </w:trPr>
        <w:tc>
          <w:tcPr>
            <w:tcW w:w="1024" w:type="dxa"/>
            <w:vAlign w:val="center"/>
          </w:tcPr>
          <w:p w14:paraId="6FBC37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A2</w:t>
            </w:r>
          </w:p>
        </w:tc>
        <w:tc>
          <w:tcPr>
            <w:tcW w:w="1618" w:type="dxa"/>
            <w:vAlign w:val="center"/>
          </w:tcPr>
          <w:p w14:paraId="4C8389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5916.00</w:t>
            </w:r>
          </w:p>
        </w:tc>
        <w:tc>
          <w:tcPr>
            <w:tcW w:w="1612" w:type="dxa"/>
            <w:vAlign w:val="center"/>
          </w:tcPr>
          <w:p w14:paraId="4C1E34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6528.19</w:t>
            </w:r>
          </w:p>
        </w:tc>
        <w:tc>
          <w:tcPr>
            <w:tcW w:w="1469" w:type="dxa"/>
            <w:vAlign w:val="center"/>
          </w:tcPr>
          <w:p w14:paraId="7A9CA6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6344.53</w:t>
            </w:r>
          </w:p>
        </w:tc>
        <w:tc>
          <w:tcPr>
            <w:tcW w:w="1606" w:type="dxa"/>
            <w:vAlign w:val="center"/>
          </w:tcPr>
          <w:p w14:paraId="79BCC0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6222.09</w:t>
            </w:r>
          </w:p>
        </w:tc>
        <w:tc>
          <w:tcPr>
            <w:tcW w:w="1611" w:type="dxa"/>
            <w:vAlign w:val="center"/>
          </w:tcPr>
          <w:p w14:paraId="67D724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6222.09</w:t>
            </w:r>
          </w:p>
        </w:tc>
      </w:tr>
      <w:tr w14:paraId="5822DA3A">
        <w:trPr>
          <w:trHeight w:val="407" w:hRule="atLeast"/>
        </w:trPr>
        <w:tc>
          <w:tcPr>
            <w:tcW w:w="1024" w:type="dxa"/>
            <w:vAlign w:val="center"/>
          </w:tcPr>
          <w:p w14:paraId="289DC2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A3</w:t>
            </w:r>
          </w:p>
        </w:tc>
        <w:tc>
          <w:tcPr>
            <w:tcW w:w="1618" w:type="dxa"/>
            <w:vAlign w:val="center"/>
          </w:tcPr>
          <w:p w14:paraId="510F1B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1015.92</w:t>
            </w:r>
          </w:p>
        </w:tc>
        <w:tc>
          <w:tcPr>
            <w:tcW w:w="1612" w:type="dxa"/>
            <w:vAlign w:val="center"/>
          </w:tcPr>
          <w:p w14:paraId="1F4A34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5443.21</w:t>
            </w:r>
          </w:p>
        </w:tc>
        <w:tc>
          <w:tcPr>
            <w:tcW w:w="1469" w:type="dxa"/>
            <w:vAlign w:val="center"/>
          </w:tcPr>
          <w:p w14:paraId="3C775E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4115.02</w:t>
            </w:r>
          </w:p>
        </w:tc>
        <w:tc>
          <w:tcPr>
            <w:tcW w:w="1606" w:type="dxa"/>
            <w:vAlign w:val="center"/>
          </w:tcPr>
          <w:p w14:paraId="5CE09E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3229.56</w:t>
            </w:r>
          </w:p>
        </w:tc>
        <w:tc>
          <w:tcPr>
            <w:tcW w:w="1611" w:type="dxa"/>
            <w:vAlign w:val="center"/>
          </w:tcPr>
          <w:p w14:paraId="01F57ED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3229.56</w:t>
            </w:r>
          </w:p>
        </w:tc>
      </w:tr>
      <w:tr w14:paraId="68FA7608">
        <w:trPr>
          <w:trHeight w:val="406" w:hRule="atLeast"/>
        </w:trPr>
        <w:tc>
          <w:tcPr>
            <w:tcW w:w="1024" w:type="dxa"/>
            <w:vAlign w:val="center"/>
          </w:tcPr>
          <w:p w14:paraId="4EB5B9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A4</w:t>
            </w:r>
          </w:p>
        </w:tc>
        <w:tc>
          <w:tcPr>
            <w:tcW w:w="1618" w:type="dxa"/>
            <w:vAlign w:val="center"/>
          </w:tcPr>
          <w:p w14:paraId="5DA218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13042.69</w:t>
            </w:r>
          </w:p>
        </w:tc>
        <w:tc>
          <w:tcPr>
            <w:tcW w:w="1612" w:type="dxa"/>
            <w:vAlign w:val="center"/>
          </w:tcPr>
          <w:p w14:paraId="339416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7700.88</w:t>
            </w:r>
          </w:p>
        </w:tc>
        <w:tc>
          <w:tcPr>
            <w:tcW w:w="1469" w:type="dxa"/>
            <w:vAlign w:val="center"/>
          </w:tcPr>
          <w:p w14:paraId="4158B8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9303.42</w:t>
            </w:r>
          </w:p>
        </w:tc>
        <w:tc>
          <w:tcPr>
            <w:tcW w:w="1606" w:type="dxa"/>
            <w:vAlign w:val="center"/>
          </w:tcPr>
          <w:p w14:paraId="20ED54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10371.78</w:t>
            </w:r>
          </w:p>
        </w:tc>
        <w:tc>
          <w:tcPr>
            <w:tcW w:w="1611" w:type="dxa"/>
            <w:vAlign w:val="center"/>
          </w:tcPr>
          <w:p w14:paraId="3B84D0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10371.78</w:t>
            </w:r>
          </w:p>
        </w:tc>
      </w:tr>
      <w:tr w14:paraId="7C5E1337">
        <w:trPr>
          <w:trHeight w:val="407" w:hRule="atLeast"/>
        </w:trPr>
        <w:tc>
          <w:tcPr>
            <w:tcW w:w="1024" w:type="dxa"/>
            <w:vAlign w:val="center"/>
          </w:tcPr>
          <w:p w14:paraId="5D3742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A5</w:t>
            </w:r>
          </w:p>
        </w:tc>
        <w:tc>
          <w:tcPr>
            <w:tcW w:w="1618" w:type="dxa"/>
            <w:vAlign w:val="center"/>
          </w:tcPr>
          <w:p w14:paraId="037462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535.57</w:t>
            </w:r>
          </w:p>
        </w:tc>
        <w:tc>
          <w:tcPr>
            <w:tcW w:w="1612" w:type="dxa"/>
            <w:vAlign w:val="center"/>
          </w:tcPr>
          <w:p w14:paraId="47FF97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810.34</w:t>
            </w:r>
          </w:p>
        </w:tc>
        <w:tc>
          <w:tcPr>
            <w:tcW w:w="1469" w:type="dxa"/>
            <w:vAlign w:val="center"/>
          </w:tcPr>
          <w:p w14:paraId="1D22BB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727.91</w:t>
            </w:r>
          </w:p>
        </w:tc>
        <w:tc>
          <w:tcPr>
            <w:tcW w:w="1606" w:type="dxa"/>
            <w:vAlign w:val="center"/>
          </w:tcPr>
          <w:p w14:paraId="3163BC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672.96</w:t>
            </w:r>
          </w:p>
        </w:tc>
        <w:tc>
          <w:tcPr>
            <w:tcW w:w="1611" w:type="dxa"/>
            <w:vAlign w:val="center"/>
          </w:tcPr>
          <w:p w14:paraId="314607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672.95</w:t>
            </w:r>
          </w:p>
        </w:tc>
      </w:tr>
      <w:tr w14:paraId="6216F515">
        <w:trPr>
          <w:trHeight w:val="407" w:hRule="atLeast"/>
        </w:trPr>
        <w:tc>
          <w:tcPr>
            <w:tcW w:w="1024" w:type="dxa"/>
            <w:vAlign w:val="center"/>
          </w:tcPr>
          <w:p w14:paraId="1B8618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A6</w:t>
            </w:r>
          </w:p>
        </w:tc>
        <w:tc>
          <w:tcPr>
            <w:tcW w:w="1618" w:type="dxa"/>
            <w:vAlign w:val="center"/>
          </w:tcPr>
          <w:p w14:paraId="14CBCF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4806.71</w:t>
            </w:r>
          </w:p>
        </w:tc>
        <w:tc>
          <w:tcPr>
            <w:tcW w:w="1612" w:type="dxa"/>
            <w:vAlign w:val="center"/>
          </w:tcPr>
          <w:p w14:paraId="0D4C6A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3935.37</w:t>
            </w:r>
          </w:p>
        </w:tc>
        <w:tc>
          <w:tcPr>
            <w:tcW w:w="1469" w:type="dxa"/>
            <w:vAlign w:val="center"/>
          </w:tcPr>
          <w:p w14:paraId="4BEF97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4196.77</w:t>
            </w:r>
          </w:p>
        </w:tc>
        <w:tc>
          <w:tcPr>
            <w:tcW w:w="1606" w:type="dxa"/>
            <w:vAlign w:val="center"/>
          </w:tcPr>
          <w:p w14:paraId="09E5E2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4371.04</w:t>
            </w:r>
          </w:p>
        </w:tc>
        <w:tc>
          <w:tcPr>
            <w:tcW w:w="1611" w:type="dxa"/>
            <w:vAlign w:val="center"/>
          </w:tcPr>
          <w:p w14:paraId="25287C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4371.04</w:t>
            </w:r>
          </w:p>
        </w:tc>
      </w:tr>
      <w:tr w14:paraId="585AFE47">
        <w:trPr>
          <w:trHeight w:val="407" w:hRule="atLeast"/>
        </w:trPr>
        <w:tc>
          <w:tcPr>
            <w:tcW w:w="1024" w:type="dxa"/>
            <w:vAlign w:val="center"/>
          </w:tcPr>
          <w:p w14:paraId="74F33A0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A7</w:t>
            </w:r>
          </w:p>
        </w:tc>
        <w:tc>
          <w:tcPr>
            <w:tcW w:w="1618" w:type="dxa"/>
            <w:vAlign w:val="center"/>
          </w:tcPr>
          <w:p w14:paraId="344B76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309.29</w:t>
            </w:r>
          </w:p>
        </w:tc>
        <w:tc>
          <w:tcPr>
            <w:tcW w:w="1612" w:type="dxa"/>
            <w:vAlign w:val="center"/>
          </w:tcPr>
          <w:p w14:paraId="7F2088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674.40</w:t>
            </w:r>
          </w:p>
        </w:tc>
        <w:tc>
          <w:tcPr>
            <w:tcW w:w="1469" w:type="dxa"/>
            <w:vAlign w:val="center"/>
          </w:tcPr>
          <w:p w14:paraId="5AED07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564.87</w:t>
            </w:r>
          </w:p>
        </w:tc>
        <w:tc>
          <w:tcPr>
            <w:tcW w:w="1606" w:type="dxa"/>
            <w:vAlign w:val="center"/>
          </w:tcPr>
          <w:p w14:paraId="0A9E8C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491.84</w:t>
            </w:r>
          </w:p>
        </w:tc>
        <w:tc>
          <w:tcPr>
            <w:tcW w:w="1611" w:type="dxa"/>
            <w:vAlign w:val="center"/>
          </w:tcPr>
          <w:p w14:paraId="496C9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491.85</w:t>
            </w:r>
          </w:p>
        </w:tc>
      </w:tr>
      <w:tr w14:paraId="7F68FCA4">
        <w:trPr>
          <w:trHeight w:val="391" w:hRule="atLeast"/>
        </w:trPr>
        <w:tc>
          <w:tcPr>
            <w:tcW w:w="1024" w:type="dxa"/>
            <w:vAlign w:val="center"/>
          </w:tcPr>
          <w:p w14:paraId="50102F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A8</w:t>
            </w:r>
          </w:p>
        </w:tc>
        <w:tc>
          <w:tcPr>
            <w:tcW w:w="1618" w:type="dxa"/>
            <w:vAlign w:val="center"/>
          </w:tcPr>
          <w:p w14:paraId="5C17EC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1390.50</w:t>
            </w:r>
          </w:p>
        </w:tc>
        <w:tc>
          <w:tcPr>
            <w:tcW w:w="1612" w:type="dxa"/>
            <w:vAlign w:val="center"/>
          </w:tcPr>
          <w:p w14:paraId="156C10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1854.76</w:t>
            </w:r>
          </w:p>
        </w:tc>
        <w:tc>
          <w:tcPr>
            <w:tcW w:w="1469" w:type="dxa"/>
            <w:vAlign w:val="center"/>
          </w:tcPr>
          <w:p w14:paraId="1FEF75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1715.48</w:t>
            </w:r>
          </w:p>
        </w:tc>
        <w:tc>
          <w:tcPr>
            <w:tcW w:w="1606" w:type="dxa"/>
            <w:vAlign w:val="center"/>
          </w:tcPr>
          <w:p w14:paraId="74CFC9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1622.63</w:t>
            </w:r>
          </w:p>
        </w:tc>
        <w:tc>
          <w:tcPr>
            <w:tcW w:w="1611" w:type="dxa"/>
            <w:vAlign w:val="center"/>
          </w:tcPr>
          <w:p w14:paraId="10B552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1622.63</w:t>
            </w:r>
          </w:p>
        </w:tc>
      </w:tr>
      <w:tr w14:paraId="11CEDFD9">
        <w:trPr>
          <w:trHeight w:val="541" w:hRule="atLeast"/>
        </w:trPr>
        <w:tc>
          <w:tcPr>
            <w:tcW w:w="1024" w:type="dxa"/>
            <w:tcBorders>
              <w:bottom w:val="single" w:color="000000" w:sz="12" w:space="0"/>
            </w:tcBorders>
            <w:vAlign w:val="center"/>
          </w:tcPr>
          <w:p w14:paraId="033CC3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合计</w:t>
            </w:r>
          </w:p>
        </w:tc>
        <w:tc>
          <w:tcPr>
            <w:tcW w:w="1618" w:type="dxa"/>
            <w:tcBorders>
              <w:bottom w:val="single" w:color="000000" w:sz="12" w:space="0"/>
            </w:tcBorders>
            <w:vAlign w:val="center"/>
          </w:tcPr>
          <w:p w14:paraId="015C45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35880.81</w:t>
            </w:r>
          </w:p>
        </w:tc>
        <w:tc>
          <w:tcPr>
            <w:tcW w:w="1612" w:type="dxa"/>
            <w:tcBorders>
              <w:bottom w:val="single" w:color="000000" w:sz="12" w:space="0"/>
            </w:tcBorders>
            <w:vAlign w:val="center"/>
          </w:tcPr>
          <w:p w14:paraId="2778E1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35880.80</w:t>
            </w:r>
          </w:p>
        </w:tc>
        <w:tc>
          <w:tcPr>
            <w:tcW w:w="1469" w:type="dxa"/>
            <w:tcBorders>
              <w:bottom w:val="single" w:color="000000" w:sz="12" w:space="0"/>
            </w:tcBorders>
            <w:vAlign w:val="center"/>
          </w:tcPr>
          <w:p w14:paraId="4B3918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不适用</w:t>
            </w:r>
          </w:p>
        </w:tc>
        <w:tc>
          <w:tcPr>
            <w:tcW w:w="1606" w:type="dxa"/>
            <w:tcBorders>
              <w:bottom w:val="single" w:color="000000" w:sz="12" w:space="0"/>
            </w:tcBorders>
            <w:vAlign w:val="center"/>
          </w:tcPr>
          <w:p w14:paraId="3FC85D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不适用</w:t>
            </w:r>
          </w:p>
        </w:tc>
        <w:tc>
          <w:tcPr>
            <w:tcW w:w="1611" w:type="dxa"/>
            <w:tcBorders>
              <w:bottom w:val="single" w:color="000000" w:sz="12" w:space="0"/>
            </w:tcBorders>
            <w:vAlign w:val="center"/>
          </w:tcPr>
          <w:p w14:paraId="76EFED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35880.80</w:t>
            </w:r>
          </w:p>
        </w:tc>
      </w:tr>
    </w:tbl>
    <w:p w14:paraId="6C8581CB">
      <w:pPr>
        <w:pStyle w:val="3"/>
        <w:numPr>
          <w:ilvl w:val="1"/>
          <w:numId w:val="5"/>
        </w:numPr>
        <w:bidi w:val="0"/>
        <w:ind w:left="567" w:leftChars="0" w:hanging="567" w:firstLineChars="0"/>
      </w:pPr>
      <w:bookmarkStart w:id="14" w:name="_Toc31217"/>
      <w:r>
        <w:rPr>
          <w:lang w:val="en-US" w:eastAsia="zh-CN"/>
        </w:rPr>
        <w:t>条件参数自举与下游触限风险</w:t>
      </w:r>
      <w:bookmarkEnd w:id="14"/>
    </w:p>
    <w:p w14:paraId="15DB2A5E">
      <w:pPr>
        <w:bidi w:val="0"/>
      </w:pPr>
      <w:r>
        <w:rPr>
          <w:lang w:val="en-US" w:eastAsia="zh-CN"/>
        </w:rPr>
        <w:t xml:space="preserve">附件未提供跨年度重复的 2025 </w:t>
      </w:r>
      <w:r>
        <w:rPr>
          <w:rFonts w:hint="default"/>
          <w:lang w:val="en-US" w:eastAsia="zh-CN"/>
        </w:rPr>
        <w:t xml:space="preserve">量测，因此无法识别无条件真实分布。本文采用500次条件参数自举 </w:t>
      </w:r>
      <w:r>
        <w:rPr>
          <w:rFonts w:hint="default"/>
          <w:vertAlign w:val="superscript"/>
          <w:lang w:val="en-US" w:eastAsia="zh-CN"/>
        </w:rPr>
        <w:fldChar w:fldCharType="begin"/>
      </w:r>
      <w:r>
        <w:instrText xml:space="preserve"> REF _Ref18408 \r \h  \* MERGEFORMAT</w:instrText>
      </w:r>
      <w:r>
        <w:rPr>
          <w:rFonts w:hint="default"/>
          <w:vertAlign w:val="superscript"/>
          <w:lang w:val="en-US" w:eastAsia="zh-CN"/>
        </w:rPr>
        <w:fldChar w:fldCharType="separate"/>
      </w:r>
      <w:r>
        <w:rPr>
          <w:rFonts w:hint="default"/>
          <w:vertAlign w:val="superscript"/>
          <w:lang w:val="en-US" w:eastAsia="zh-CN"/>
        </w:rPr>
        <w:t>[9]</w:t>
      </w:r>
      <w:r>
        <w:rPr>
          <w:rFonts w:hint="default"/>
          <w:vertAlign w:val="superscript"/>
          <w:lang w:val="en-US" w:eastAsia="zh-CN"/>
        </w:rPr>
        <w:fldChar w:fldCharType="end"/>
      </w:r>
      <w:r>
        <w:rPr>
          <w:rFonts w:hint="default"/>
          <w:lang w:val="en-US" w:eastAsia="zh-CN"/>
        </w:rPr>
        <w:t xml:space="preserve">：以问题一拟合状态为条件真值，按照各量测类型的 </w:t>
      </w:r>
      <w:r>
        <w:rPr>
          <w:i/>
          <w:iCs/>
          <w:lang w:val="en-US" w:eastAsia="zh-CN"/>
        </w:rPr>
        <w:t>σ</w:t>
      </w:r>
      <w:r>
        <w:rPr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独立生成截断于零的正态伪观测，并保留原缺失模式与结构性零流量；每个样本均从伪观测出发重新完成Huber调和，再求解12个 </w:t>
      </w:r>
      <w:r>
        <w:rPr>
          <w:lang w:val="en-US" w:eastAsia="zh-CN"/>
        </w:rPr>
        <w:t>8×</w:t>
      </w:r>
      <w:r>
        <w:rPr>
          <w:rFonts w:hint="default"/>
          <w:lang w:val="en-US" w:eastAsia="zh-CN"/>
        </w:rPr>
        <w:t xml:space="preserve">8 碳势系统。随机种子固定为 20250822。2025年排放因子、网络、工程先验和量测精度保持不变，附件 6 给出的未来因子区间不作为2025年的概率分布。 </w:t>
      </w:r>
    </w:p>
    <w:p w14:paraId="7E5338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500/500 个样本成功。最大能量平衡残差为 1.01×10</w:t>
      </w:r>
      <w:r>
        <w:rPr>
          <w:rFonts w:hint="eastAsia"/>
          <w:vertAlign w:val="superscript"/>
          <w:lang w:val="en-US" w:eastAsia="zh-CN"/>
        </w:rPr>
        <w:t>-</w:t>
      </w:r>
      <w:r>
        <w:rPr>
          <w:vertAlign w:val="superscript"/>
          <w:lang w:val="en-US" w:eastAsia="zh-CN"/>
        </w:rPr>
        <w:t>12</w:t>
      </w:r>
      <w:r>
        <w:rPr>
          <w:lang w:val="en-US" w:eastAsia="zh-CN"/>
        </w:rPr>
        <w:t xml:space="preserve"> </w:t>
      </w:r>
      <w:r>
        <w:rPr>
          <w:rFonts w:hint="default"/>
          <w:lang w:val="en-US" w:eastAsia="zh-CN"/>
        </w:rPr>
        <w:t>GWh，碳流系统最大条件数为 6.606，责任守恒最大相对误差为 4.03 × 10</w:t>
      </w:r>
      <w:r>
        <w:rPr>
          <w:rFonts w:hint="eastAsia"/>
          <w:vertAlign w:val="superscript"/>
          <w:lang w:val="en-US" w:eastAsia="zh-CN"/>
        </w:rPr>
        <w:t>-</w:t>
      </w:r>
      <w:r>
        <w:rPr>
          <w:rFonts w:hint="default"/>
          <w:vertAlign w:val="superscript"/>
          <w:lang w:val="en-US" w:eastAsia="zh-CN"/>
        </w:rPr>
        <w:t>16</w:t>
      </w:r>
      <w:r>
        <w:rPr>
          <w:rFonts w:hint="default"/>
          <w:lang w:val="en-US" w:eastAsia="zh-CN"/>
        </w:rPr>
        <w:t>，最终分位端点的最大 Monte Carlo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标准误</w:t>
      </w:r>
      <w:r>
        <w:rPr>
          <w:rFonts w:hint="eastAsia"/>
          <w:lang w:val="en-US" w:eastAsia="zh-CN"/>
        </w:rPr>
        <w:t>差</w:t>
      </w:r>
      <w:r>
        <w:rPr>
          <w:rFonts w:hint="default"/>
          <w:lang w:val="en-US" w:eastAsia="zh-CN"/>
        </w:rPr>
        <w:t>为 0.0001198 kgCO</w:t>
      </w:r>
      <w:r>
        <w:rPr>
          <w:rFonts w:hint="default"/>
          <w:vertAlign w:val="subscript"/>
          <w:lang w:val="en-US" w:eastAsia="zh-CN"/>
        </w:rPr>
        <w:t>2</w:t>
      </w:r>
      <w:r>
        <w:rPr>
          <w:rFonts w:hint="default"/>
          <w:lang w:val="en-US" w:eastAsia="zh-CN"/>
        </w:rPr>
        <w:t>/kWh。图11显示 A4、A5 的年均强度点估计及 95% 条件区间分别为 0.62399 [0.62179, 0.62537] 和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0.15217[0.15019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0.15320]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500 次中 A4 始终最高、A5始终最低，相应概率的 Wilson 95% 下界均为 0.9924。</w:t>
      </w:r>
    </w:p>
    <w:p w14:paraId="16ACCA5B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15000" cy="2997200"/>
            <wp:effectExtent l="0" t="0" r="0" b="0"/>
            <wp:docPr id="2" name="图片 2" descr="fig_q2_uncertain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_q2_uncertainty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F46D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八区域年均终端碳强度</w:t>
      </w:r>
    </w:p>
    <w:p w14:paraId="78008AA6">
      <w:pPr>
        <w:bidi w:val="0"/>
      </w:pPr>
      <w:r>
        <w:rPr>
          <w:rFonts w:hint="eastAsia"/>
          <w:lang w:val="en-US" w:eastAsia="zh-CN"/>
        </w:rPr>
        <w:t>图11中</w:t>
      </w:r>
      <w:r>
        <w:rPr>
          <w:lang w:val="en-US" w:eastAsia="zh-CN"/>
        </w:rPr>
        <w:t xml:space="preserve">左侧色带为调和后点估计，右侧把 95% </w:t>
      </w:r>
      <w:r>
        <w:rPr>
          <w:rFonts w:hint="default"/>
          <w:lang w:val="en-US" w:eastAsia="zh-CN"/>
        </w:rPr>
        <w:t>条件区间画成相对点估计的偏差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圆点为 P50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 xml:space="preserve">。区间宽度约 </w:t>
      </w:r>
      <w:r>
        <w:rPr>
          <w:lang w:val="en-US" w:eastAsia="zh-CN"/>
        </w:rPr>
        <w:t>0.</w:t>
      </w:r>
      <w:r>
        <w:rPr>
          <w:rFonts w:hint="default"/>
          <w:lang w:val="en-US" w:eastAsia="zh-CN"/>
        </w:rPr>
        <w:t>002 至 0.004，在原强度轴上会被点标盖住。</w:t>
      </w:r>
    </w:p>
    <w:p w14:paraId="450E7619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A4→</w:t>
      </w:r>
      <w:r>
        <w:rPr>
          <w:rFonts w:hint="default"/>
          <w:lang w:val="en-US" w:eastAsia="zh-CN"/>
        </w:rPr>
        <w:t xml:space="preserve">A3 </w:t>
      </w:r>
      <w:r>
        <w:rPr>
          <w:lang w:val="en-US" w:eastAsia="zh-CN"/>
        </w:rPr>
        <w:t xml:space="preserve">年度到达碳流的条件 </w:t>
      </w:r>
      <w:r>
        <w:rPr>
          <w:rFonts w:hint="default"/>
          <w:lang w:val="en-US" w:eastAsia="zh-CN"/>
        </w:rPr>
        <w:t xml:space="preserve">P2.5/P50/P97.5 为 4356.76/4387.27/4419.04 kt，见图12。将同一批样本传递至问题三固定的 </w:t>
      </w:r>
      <w:r>
        <w:rPr>
          <w:i/>
          <w:iCs/>
          <w:lang w:val="en-US" w:eastAsia="zh-CN"/>
        </w:rPr>
        <w:t>ε</w:t>
      </w:r>
      <w:r>
        <w:rPr>
          <w:lang w:val="en-US" w:eastAsia="zh-CN"/>
        </w:rPr>
        <w:t xml:space="preserve"> = 1</w:t>
      </w:r>
      <w:r>
        <w:rPr>
          <w:rFonts w:hint="default"/>
          <w:lang w:val="en-US" w:eastAsia="zh-CN"/>
        </w:rPr>
        <w:t>% 推荐计划，且不针对单个样本重新优化，得到 2026 至 2030 年省级触限概率依次为 0、0.2%、32.0%、35.8%、35.8%。尽管点估计未超过上限，后三年的触限概率仍高于 30%，实际执行时需要设置动态重估触发条件。这些区间未覆盖排放因子、未来结构、相关量测误差和模型错设，因而不属于无条件预测区间。</w:t>
      </w:r>
    </w:p>
    <w:p w14:paraId="31E78A36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15000" cy="3333750"/>
            <wp:effectExtent l="0" t="0" r="0" b="19050"/>
            <wp:docPr id="3" name="图片 3" descr="fig_q2_channel_carbon_uncertain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_q2_channel_carbon_uncertainty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94F2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前十条通道的年度到达碳流</w:t>
      </w:r>
    </w:p>
    <w:p w14:paraId="529ADF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图11中</w:t>
      </w:r>
      <w:r>
        <w:rPr>
          <w:lang w:val="en-US" w:eastAsia="zh-CN"/>
        </w:rPr>
        <w:t>左侧色带为点估计（以 A4→</w:t>
      </w:r>
      <w:r>
        <w:rPr>
          <w:rFonts w:hint="default"/>
          <w:lang w:val="en-US" w:eastAsia="zh-CN"/>
        </w:rPr>
        <w:t>A3 为主），右侧为相对点估计的 95% 条件区间。各通道量级相差两个数量级，右图采用偏差轴以同时显示各区间。</w:t>
      </w:r>
    </w:p>
    <w:p w14:paraId="3560D28C">
      <w:pPr>
        <w:pStyle w:val="2"/>
        <w:numPr>
          <w:ilvl w:val="0"/>
          <w:numId w:val="1"/>
        </w:numPr>
        <w:bidi w:val="0"/>
      </w:pPr>
      <w:bookmarkStart w:id="15" w:name="_Toc26010"/>
      <w:r>
        <w:t>问题三：区域碳预算与五年项目组合</w:t>
      </w:r>
      <w:bookmarkEnd w:id="15"/>
    </w:p>
    <w:p w14:paraId="40E08CAA">
      <w:pPr>
        <w:pStyle w:val="3"/>
        <w:numPr>
          <w:ilvl w:val="1"/>
          <w:numId w:val="6"/>
        </w:numPr>
        <w:bidi w:val="0"/>
        <w:ind w:left="567" w:leftChars="0" w:hanging="567" w:firstLineChars="0"/>
      </w:pPr>
      <w:bookmarkStart w:id="16" w:name="_Toc15823"/>
      <w:r>
        <w:t>预算分解</w:t>
      </w:r>
      <w:bookmarkEnd w:id="16"/>
    </w:p>
    <w:p w14:paraId="1071F1BE">
      <w:pPr>
        <w:bidi w:val="0"/>
      </w:pPr>
      <w:r>
        <w:t xml:space="preserve">全省消费侧年度上限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eastAsia="宋体"/>
                    <w:sz w:val="24"/>
                  </w:rPr>
                </m:ctrlPr>
              </m:bar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E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ba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y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t>为硬约束。区域软预算采用惯性份额与公平份额的凸组合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vertAlign w:val="superscript"/>
        </w:rPr>
        <w:instrText xml:space="preserve"> REF _Ref19910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[16</w:t>
      </w:r>
      <w:r>
        <w:rPr>
          <w:rFonts w:hint="default"/>
          <w:vanish/>
          <w:sz w:val="24"/>
          <w:vertAlign w:val="superscript"/>
          <w:lang w:val="en-US"/>
        </w:rPr>
        <w:t>]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_Ref19920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-</w:t>
      </w:r>
      <w:r>
        <w:rPr>
          <w:rFonts w:hint="default"/>
          <w:vertAlign w:val="superscript"/>
          <w:lang w:val="en-US"/>
        </w:rPr>
        <w:t>18]</w:t>
      </w:r>
      <w:r>
        <w:rPr>
          <w:rFonts w:hint="default"/>
          <w:vertAlign w:val="superscript"/>
          <w:lang w:val="en-US"/>
        </w:rPr>
        <w:fldChar w:fldCharType="end"/>
      </w:r>
    </w:p>
    <w:p w14:paraId="7F8B7A1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B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=[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+(1−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d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]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bar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E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ba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,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(6)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7B211B3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0" w:line="240" w:lineRule="auto"/>
        <w:ind w:left="4" w:right="120" w:hanging="1"/>
        <w:textAlignment w:val="baseline"/>
      </w:pPr>
      <w:r>
        <w:t>其中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π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position w:val="-3"/>
          <w:sz w:val="15"/>
          <w:szCs w:val="15"/>
        </w:rPr>
        <w:t>i</w:t>
      </w:r>
      <w:r>
        <w:t>为2025 年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</w:rPr>
        <w:t>C</w:t>
      </w:r>
      <w:r>
        <w:rPr>
          <w:rFonts w:hint="eastAsia" w:cs="Times New Roman"/>
          <w:i/>
          <w:iCs/>
          <w:spacing w:val="1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8"/>
          <w:sz w:val="15"/>
          <w:szCs w:val="15"/>
        </w:rPr>
        <w:t>+</w:t>
      </w:r>
      <w:r>
        <w:t>份额，</w:t>
      </w:r>
      <w:r>
        <w:rPr>
          <w:rFonts w:ascii="Times New Roman" w:hAnsi="Times New Roman" w:eastAsia="Times New Roman" w:cs="Times New Roman"/>
          <w:i/>
          <w:iCs/>
        </w:rPr>
        <w:t>d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position w:val="-3"/>
          <w:sz w:val="15"/>
          <w:szCs w:val="15"/>
        </w:rPr>
        <w:t>,</w:t>
      </w:r>
      <w:r>
        <w:rPr>
          <w:rFonts w:hint="eastAsia" w:cs="Times New Roman"/>
          <w:b/>
          <w:bCs/>
          <w:i/>
          <w:iCs/>
          <w:spacing w:val="1"/>
          <w:position w:val="-3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position w:val="-3"/>
          <w:sz w:val="15"/>
          <w:szCs w:val="15"/>
        </w:rPr>
        <w:t>y</w:t>
      </w:r>
      <w:r>
        <w:t>为当年需求份额，</w:t>
      </w:r>
      <m:oMath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ω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</m:oMath>
      <w:r>
        <w:t>由2026年的0.85线性降到2030年的0.65。超额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b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position w:val="-3"/>
          <w:sz w:val="15"/>
          <w:szCs w:val="15"/>
        </w:rPr>
        <w:t>,</w:t>
      </w:r>
      <w:r>
        <w:rPr>
          <w:rFonts w:hint="eastAsia" w:cs="Times New Roman"/>
          <w:b/>
          <w:bCs/>
          <w:i/>
          <w:iCs/>
          <w:spacing w:val="3"/>
          <w:position w:val="-3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position w:val="-3"/>
          <w:sz w:val="15"/>
          <w:szCs w:val="15"/>
        </w:rPr>
        <w:t>y</w:t>
      </w:r>
      <w:r>
        <w:rPr>
          <w:rFonts w:hint="eastAsia" w:cs="Times New Roman"/>
          <w:b/>
          <w:bCs/>
          <w:i/>
          <w:iCs/>
          <w:spacing w:val="3"/>
          <w:position w:val="-3"/>
          <w:sz w:val="15"/>
          <w:szCs w:val="15"/>
          <w:lang w:val="en-US" w:eastAsia="zh-CN"/>
        </w:rPr>
        <w:t xml:space="preserve"> </w:t>
      </w:r>
      <w:r>
        <w:t>= max</w:t>
      </w:r>
      <w:r>
        <w:rPr>
          <w:rFonts w:ascii="Times New Roman" w:hAnsi="Times New Roman" w:eastAsia="Times New Roman" w:cs="Times New Roman"/>
          <w:spacing w:val="3"/>
        </w:rPr>
        <w:t>(0</w:t>
      </w:r>
      <w:r>
        <w:rPr>
          <w:rFonts w:ascii="Times New Roman" w:hAnsi="Times New Roman" w:eastAsia="Times New Roman" w:cs="Times New Roman"/>
          <w:i/>
          <w:iCs/>
          <w:spacing w:val="3"/>
        </w:rPr>
        <w:t xml:space="preserve">, </w:t>
      </w:r>
      <w:r>
        <w:rPr>
          <w:rFonts w:ascii="Times New Roman" w:hAnsi="Times New Roman" w:eastAsia="Times New Roman" w:cs="Times New Roman"/>
          <w:i/>
          <w:iCs/>
        </w:rPr>
        <w:t>E</w:t>
      </w:r>
      <w:r>
        <w:rPr>
          <w:rFonts w:ascii="Times New Roman" w:hAnsi="Times New Roman" w:eastAsia="Times New Roman" w:cs="Times New Roman"/>
          <w:b/>
          <w:bCs/>
          <w:i/>
          <w:iCs/>
          <w:position w:val="-3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position w:val="-3"/>
          <w:sz w:val="15"/>
          <w:szCs w:val="15"/>
        </w:rPr>
        <w:t>,</w:t>
      </w:r>
      <w:r>
        <w:rPr>
          <w:rFonts w:hint="eastAsia" w:cs="Times New Roman"/>
          <w:b/>
          <w:bCs/>
          <w:i/>
          <w:iCs/>
          <w:spacing w:val="3"/>
          <w:position w:val="-3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position w:val="-3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i/>
          <w:iCs/>
          <w:spacing w:val="3"/>
          <w:position w:val="-3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i/>
          <w:iCs/>
          <w:spacing w:val="3"/>
        </w:rPr>
        <w:t>−</w:t>
      </w:r>
      <w:r>
        <w:rPr>
          <w:rFonts w:ascii="微软雅黑" w:hAnsi="微软雅黑" w:eastAsia="微软雅黑" w:cs="微软雅黑"/>
          <w:spacing w:val="3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B</w:t>
      </w:r>
      <w:r>
        <w:rPr>
          <w:rFonts w:ascii="Times New Roman" w:hAnsi="Times New Roman" w:eastAsia="Times New Roman" w:cs="Times New Roman"/>
          <w:b/>
          <w:bCs/>
          <w:i/>
          <w:iCs/>
          <w:position w:val="-1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position w:val="-1"/>
          <w:sz w:val="15"/>
          <w:szCs w:val="15"/>
        </w:rPr>
        <w:t>,</w:t>
      </w:r>
      <w:r>
        <w:rPr>
          <w:rFonts w:hint="eastAsia" w:cs="Times New Roman"/>
          <w:b/>
          <w:bCs/>
          <w:i/>
          <w:iCs/>
          <w:spacing w:val="3"/>
          <w:position w:val="-1"/>
          <w:sz w:val="15"/>
          <w:szCs w:val="15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position w:val="-1"/>
          <w:sz w:val="15"/>
          <w:szCs w:val="15"/>
        </w:rPr>
        <w:t>y</w:t>
      </w:r>
      <w:r>
        <w:t>) 按0.2百万元/kt</w:t>
      </w:r>
      <w:r>
        <w:rPr>
          <w:rFonts w:hint="eastAsia"/>
          <w:lang w:val="en-US" w:eastAsia="zh-CN"/>
        </w:rPr>
        <w:t>(</w:t>
      </w:r>
      <w:r>
        <w:t>约200元/tCO</w:t>
      </w:r>
      <w:r>
        <w:rPr>
          <w:vertAlign w:val="subscript"/>
        </w:rPr>
        <w:t>2</w:t>
      </w:r>
      <w:r>
        <w:rPr>
          <w:rFonts w:hint="eastAsia"/>
          <w:vertAlign w:val="baseline"/>
          <w:lang w:val="en-US" w:eastAsia="zh-CN"/>
        </w:rPr>
        <w:t>)</w:t>
      </w:r>
      <w:r>
        <w:t>计罚。</w:t>
      </w:r>
    </w:p>
    <w:p w14:paraId="6F38F786">
      <w:pPr>
        <w:pStyle w:val="3"/>
        <w:numPr>
          <w:ilvl w:val="1"/>
          <w:numId w:val="6"/>
        </w:numPr>
        <w:bidi w:val="0"/>
        <w:ind w:left="567" w:leftChars="0" w:hanging="567" w:firstLineChars="0"/>
      </w:pPr>
      <w:bookmarkStart w:id="17" w:name="bookmark22"/>
      <w:bookmarkEnd w:id="17"/>
      <w:bookmarkStart w:id="18" w:name="_Toc9806"/>
      <w:r>
        <w:t>投资—运行耦合</w:t>
      </w:r>
      <w:r>
        <w:rPr>
          <w:rFonts w:hint="default" w:ascii="Times New Roman" w:hAnsi="Times New Roman" w:cs="Times New Roman"/>
        </w:rPr>
        <w:t>MILP</w:t>
      </w:r>
      <w:bookmarkEnd w:id="18"/>
    </w:p>
    <w:p w14:paraId="1B9A9CCA">
      <w:pPr>
        <w:pStyle w:val="6"/>
        <w:spacing w:before="104" w:line="220" w:lineRule="auto"/>
        <w:ind w:left="6" w:right="130" w:firstLine="476"/>
        <w:jc w:val="both"/>
      </w:pPr>
      <w:r>
        <w:t>决策变量为项目</w:t>
      </w:r>
      <w:r>
        <w:rPr>
          <w:i/>
          <w:iCs/>
        </w:rPr>
        <w:t xml:space="preserve"> p</w:t>
      </w:r>
      <w:r>
        <w:t xml:space="preserve"> 在年份 </w:t>
      </w:r>
      <w:r>
        <w:rPr>
          <w:i/>
          <w:iCs/>
        </w:rPr>
        <w:t>t</w:t>
      </w:r>
      <w:r>
        <w:t xml:space="preserve"> 的开工规模</w:t>
      </w:r>
      <w:r>
        <w:rPr>
          <w:rFonts w:ascii="Times New Roman" w:hAnsi="Times New Roman" w:eastAsia="Times New Roman" w:cs="Times New Roman"/>
          <w:i/>
          <w:iCs/>
          <w:spacing w:val="-1"/>
        </w:rPr>
        <w:t>x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position w:val="-3"/>
          <w:sz w:val="15"/>
          <w:szCs w:val="15"/>
        </w:rPr>
        <w:t>p,t</w:t>
      </w:r>
      <w:r>
        <w:rPr>
          <w:rFonts w:ascii="Times New Roman" w:hAnsi="Times New Roman" w:eastAsia="Times New Roman" w:cs="Times New Roman"/>
          <w:i/>
          <w:iCs/>
          <w:spacing w:val="-11"/>
          <w:position w:val="-3"/>
          <w:sz w:val="15"/>
          <w:szCs w:val="15"/>
        </w:rPr>
        <w:t xml:space="preserve"> </w:t>
      </w:r>
      <w:r>
        <w:rPr>
          <w:rFonts w:hint="eastAsia"/>
          <w:lang w:val="en-US" w:eastAsia="zh-CN"/>
        </w:rPr>
        <w:t>(</w:t>
      </w:r>
      <w:r>
        <w:rPr>
          <w:rFonts w:hint="eastAsia"/>
          <w:lang w:eastAsia="zh-CN"/>
        </w:rPr>
        <w:t>其中通道升级项目采用 0-1 变量</w:t>
      </w:r>
      <w:r>
        <w:rPr>
          <w:rFonts w:hint="eastAsia"/>
          <w:lang w:val="en-US" w:eastAsia="zh-CN"/>
        </w:rPr>
        <w:t>)</w:t>
      </w:r>
      <w:r>
        <w:t xml:space="preserve">。运行层包含本地电源上限、省外输入年容量、通道容量与问题一校正后的 </w:t>
      </w:r>
      <w:r>
        <w:rPr>
          <w:rFonts w:ascii="Times New Roman" w:hAnsi="Times New Roman" w:eastAsia="Times New Roman" w:cs="Times New Roman"/>
          <w:i/>
          <w:iCs/>
          <w:spacing w:val="-4"/>
        </w:rPr>
        <w:t>η</w:t>
      </w:r>
      <w:r>
        <w:rPr>
          <w:rFonts w:ascii="Times New Roman" w:hAnsi="Times New Roman" w:eastAsia="Times New Roman" w:cs="Times New Roman"/>
          <w:i/>
          <w:iCs/>
          <w:spacing w:val="-4"/>
          <w:position w:val="-3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i/>
          <w:iCs/>
          <w:spacing w:val="-11"/>
          <w:position w:val="-3"/>
          <w:sz w:val="15"/>
          <w:szCs w:val="15"/>
        </w:rPr>
        <w:t xml:space="preserve"> </w:t>
      </w:r>
      <w:r>
        <w:rPr>
          <w:spacing w:val="-4"/>
        </w:rPr>
        <w:t>，</w:t>
      </w:r>
      <w:r>
        <w:t>以及最低供能率。碳核算按附件 4B 的官方简化式</w:t>
      </w:r>
    </w:p>
    <w:p w14:paraId="5FCD57E1">
      <w:pPr>
        <w:pStyle w:val="6"/>
        <w:spacing w:before="104" w:line="220" w:lineRule="auto"/>
        <w:ind w:left="6" w:right="130" w:firstLine="476"/>
        <w:jc w:val="both"/>
      </w:pPr>
    </w:p>
    <w:p w14:paraId="098AA2B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E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ρ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κ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D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−</m:t>
              </m:r>
              <m:sSubSup>
                <m:sSubSup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G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PV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egoe UI Emoji"/>
                  <w:sz w:val="24"/>
                </w:rPr>
                <m:t>)+0.045</m:t>
              </m:r>
              <m:sSubSup>
                <m:sSubSup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G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PV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egoe UI Emoji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A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(7)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424EB9A9">
      <w:pPr>
        <w:bidi w:val="0"/>
        <w:ind w:left="0" w:leftChars="0" w:firstLine="0" w:firstLineChars="0"/>
      </w:pPr>
    </w:p>
    <w:p w14:paraId="65C2F921">
      <w:pPr>
        <w:bidi w:val="0"/>
        <w:rPr>
          <w:rFonts w:hint="default"/>
          <w:lang w:val="en-US" w:eastAsia="zh-CN"/>
        </w:rPr>
      </w:pPr>
      <w:r>
        <w:t xml:space="preserve">交通电气化新增用电计入 </w:t>
      </w:r>
      <w:r>
        <w:rPr>
          <w:i/>
          <w:iCs/>
        </w:rPr>
        <w:t>D</w:t>
      </w:r>
      <w:r>
        <w:t xml:space="preserve">，燃油替代计入直接减排 </w:t>
      </w:r>
      <w:r>
        <w:rPr>
          <w:i/>
          <w:iCs/>
        </w:rPr>
        <w:t>A</w:t>
      </w:r>
      <w:r>
        <w:t>，不重复计算。</w:t>
      </w:r>
      <w:r>
        <w:rPr>
          <w:i/>
          <w:iCs/>
        </w:rPr>
        <w:t>ρ</w:t>
      </w:r>
      <w:r>
        <w:rPr>
          <w:b/>
          <w:bCs/>
          <w:i/>
          <w:iCs/>
          <w:vertAlign w:val="subscript"/>
        </w:rPr>
        <w:t>i</w:t>
      </w:r>
      <w:r>
        <w:t xml:space="preserve"> 取问题二 2025年终端碳强度。总规模、年开工上限、五类施工资源、年度投资上限、互斥与协同触发</w:t>
      </w:r>
      <w:bookmarkStart w:id="19" w:name="bookmark31"/>
      <w:bookmarkEnd w:id="19"/>
      <w:r>
        <w:t>均作为硬约束，协同项用 McCormick 线性化。保留下式作为传统加权罚比较基线：</w:t>
      </w:r>
    </w:p>
    <w:p w14:paraId="7D7B52E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right="0" w:firstLine="0" w:firstLineChars="0"/>
        <w:jc w:val="both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 xml:space="preserve">min 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sz w:val="24"/>
                    </w:rPr>
                    <m:t>J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p,t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p,t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(1+r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t−2026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24"/>
                </w:rPr>
                <m:t>+0.2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b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i,y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24"/>
                </w:rPr>
                <m:t>+10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i,y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D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i,y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s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i,y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(8)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27E0501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 xml:space="preserve">其中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i,y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 xml:space="preserve">= max(0, 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i,y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i,y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 xml:space="preserve"> </w:t>
      </w:r>
      <w:r>
        <w:t xml:space="preserve">，主口径 </w:t>
      </w:r>
      <w:r>
        <w:rPr>
          <w:b/>
          <w:bCs/>
          <w:i/>
          <w:iCs/>
        </w:rPr>
        <w:t>r</w:t>
      </w:r>
      <w:r>
        <w:t xml:space="preserve"> = 0。</w:t>
      </w:r>
      <w:r>
        <w:rPr>
          <w:rFonts w:hint="eastAsia"/>
          <w:lang w:val="en-US" w:eastAsia="zh-CN"/>
        </w:rPr>
        <w:t>公</w:t>
      </w:r>
      <w:r>
        <w:t>式(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t>8</w:t>
      </w:r>
      <w:r>
        <w:fldChar w:fldCharType="end"/>
      </w:r>
      <w:r>
        <w:t xml:space="preserve">) 中的系数 0.2 人为规定了公平与成本之间的交换率，因此该目标仅作为比较基线。正式方案采用严格词典序 ε-约束：先最小化总缺供 </w:t>
      </w:r>
      <w:r>
        <w:rPr>
          <w:i/>
          <w:iCs/>
        </w:rPr>
        <w:t>S</w:t>
      </w:r>
      <w:r>
        <w:t xml:space="preserve">，再在 </w:t>
      </w:r>
      <w:r>
        <w:rPr>
          <w:i/>
          <w:iCs/>
        </w:rPr>
        <w:t>S</w:t>
      </w:r>
      <w:r>
        <w:t xml:space="preserve"> = </w:t>
      </w:r>
      <w:r>
        <w:rPr>
          <w:i/>
          <w:iCs/>
        </w:rPr>
        <w:t>S</w:t>
      </w:r>
      <w:r>
        <w:rPr>
          <w:rFonts w:hint="eastAsia"/>
          <w:i/>
          <w:iCs/>
          <w:vertAlign w:val="superscript"/>
          <w:lang w:val="en-US" w:eastAsia="zh-CN"/>
        </w:rPr>
        <w:t>*</w:t>
      </w:r>
      <w:r>
        <w:t xml:space="preserve"> 下最小化投资</w:t>
      </w:r>
      <w:r>
        <w:rPr>
          <w:rFonts w:hint="eastAsia"/>
          <w:i/>
          <w:iCs/>
          <w:lang w:val="en-US" w:eastAsia="zh-CN"/>
        </w:rPr>
        <w:t>C</w:t>
      </w:r>
      <w:r>
        <w:t xml:space="preserve">，最后在 </w:t>
      </w:r>
      <w:r>
        <w:rPr>
          <w:i/>
          <w:iCs/>
        </w:rPr>
        <w:t>C</w:t>
      </w:r>
      <w:r>
        <w:t xml:space="preserve"> </w:t>
      </w:r>
      <w:r>
        <w:rPr>
          <w:rFonts w:hint="eastAsia"/>
          <w:lang w:val="en-US" w:eastAsia="zh-CN"/>
        </w:rPr>
        <w:t>≤</w:t>
      </w:r>
      <w:r>
        <w:t xml:space="preserve"> (1 + </w:t>
      </w:r>
      <w:r>
        <w:rPr>
          <w:i/>
          <w:iCs/>
        </w:rPr>
        <w:t>ε</w:t>
      </w:r>
      <w:r>
        <w:t>)</w:t>
      </w:r>
      <w:r>
        <w:rPr>
          <w:i/>
          <w:iCs/>
        </w:rPr>
        <w:t>C</w:t>
      </w:r>
      <w:r>
        <w:rPr>
          <w:rFonts w:hint="eastAsia"/>
          <w:b/>
          <w:bCs/>
          <w:i/>
          <w:iCs/>
          <w:vertAlign w:val="superscript"/>
          <w:lang w:val="en-US" w:eastAsia="zh-CN"/>
        </w:rPr>
        <w:t>*</w:t>
      </w:r>
      <w:r>
        <w:t xml:space="preserve"> 内最小化最大相对区域超额 R，并以投资最小打破同值解：</w:t>
      </w:r>
    </w:p>
    <w:p w14:paraId="50EDD2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S</m:t>
                        </m:r>
                        <m:ctrlPr>
                          <w:rPr>
                            <w:rFonts w:ascii="Cambria Math" w:hAnsi="Cambria Math" w:eastAsia="Segoe UI Emoji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∗</m:t>
                        </m:r>
                        <m:ctrlPr>
                          <w:rPr>
                            <w:rFonts w:ascii="Cambria Math" w:hAnsi="Cambria Math" w:eastAsia="Segoe UI Emoji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=</m:t>
                    </m:r>
                    <m:func>
                      <m:func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min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(x),</m:t>
                    </m: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∗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=</m:t>
                    </m:r>
                    <m:func>
                      <m:func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min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{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C(x):S(x)≤</m:t>
                    </m:r>
                    <m:sSup>
                      <m:sSup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∗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},</m:t>
                    </m: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∗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(ε)</m:t>
                    </m: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=</m:t>
                    </m:r>
                    <m:func>
                      <m:func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min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{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R:C(x)≤(1+ε)</m:t>
                    </m:r>
                    <m:sSup>
                      <m:sSup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∗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, 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i,y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(x)≤R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i,y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, ∀i,y}.</m:t>
                    </m: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mr>
              </m:m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(9)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7D756D7C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该结构仍是多年期投资与运行耦合 MILP</w:t>
      </w:r>
      <w:r>
        <w:rPr>
          <w:vertAlign w:val="superscript"/>
          <w:lang w:val="en-US" w:eastAsia="zh-CN"/>
        </w:rPr>
        <w:fldChar w:fldCharType="begin"/>
      </w:r>
      <w:r>
        <w:instrText xml:space="preserve"> REF _Ref19024 \r \h  \* MERGEFORMAT</w:instrText>
      </w:r>
      <w:r>
        <w:rPr>
          <w:vertAlign w:val="superscript"/>
          <w:lang w:val="en-US" w:eastAsia="zh-CN"/>
        </w:rPr>
        <w:fldChar w:fldCharType="separate"/>
      </w:r>
      <w:r>
        <w:rPr>
          <w:vertAlign w:val="superscript"/>
          <w:lang w:val="en-US" w:eastAsia="zh-CN"/>
        </w:rPr>
        <w:t>[19]</w:t>
      </w:r>
      <w:r>
        <w:rPr>
          <w:vertAlign w:val="superscrip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各阶段均由 HiGHS 求解至最优</w:t>
      </w:r>
      <w:r>
        <w:rPr>
          <w:rFonts w:hint="default"/>
          <w:lang w:val="en-US" w:eastAsia="zh-CN"/>
        </w:rPr>
        <w:t>并独立回代，避免直接加总不同量纲的目标。</w:t>
      </w:r>
    </w:p>
    <w:p w14:paraId="4EDE99D6">
      <w:pPr>
        <w:pStyle w:val="3"/>
        <w:numPr>
          <w:ilvl w:val="1"/>
          <w:numId w:val="6"/>
        </w:numPr>
        <w:bidi w:val="0"/>
        <w:rPr>
          <w:rFonts w:hint="default" w:ascii="宋体" w:hAnsi="宋体" w:eastAsia="宋体" w:cs="宋体"/>
          <w:b/>
          <w:bCs/>
          <w:spacing w:val="-1"/>
          <w:sz w:val="28"/>
          <w:szCs w:val="28"/>
          <w:lang w:val="en-US" w:eastAsia="zh-CN"/>
        </w:rPr>
      </w:pPr>
      <w:bookmarkStart w:id="20" w:name="_Toc4458"/>
      <w:r>
        <w:t>词典序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ε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default" w:ascii="Times New Roman" w:hAnsi="Times New Roman" w:cs="Times New Roman"/>
        </w:rPr>
        <w:t>Pareto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t>结果</w:t>
      </w:r>
      <w:bookmarkEnd w:id="20"/>
    </w:p>
    <w:p w14:paraId="0EAD84E5">
      <w:pPr>
        <w:bidi w:val="0"/>
      </w:pPr>
      <w:r>
        <w:t>阶段一得到 S</w:t>
      </w:r>
      <w:r>
        <w:rPr>
          <w:rFonts w:hint="eastAsia"/>
          <w:b/>
          <w:bCs/>
          <w:vertAlign w:val="superscript"/>
          <w:lang w:val="en-US" w:eastAsia="zh-CN"/>
        </w:rPr>
        <w:t>*</w:t>
      </w:r>
      <w:r>
        <w:rPr>
          <w:b/>
          <w:bCs/>
          <w:vertAlign w:val="superscript"/>
        </w:rPr>
        <w:t xml:space="preserve"> </w:t>
      </w:r>
      <w:r>
        <w:t>= 0，阶段二得到最低投资 C</w:t>
      </w:r>
      <w:r>
        <w:rPr>
          <w:rFonts w:hint="eastAsia"/>
          <w:vertAlign w:val="superscript"/>
          <w:lang w:val="en-US" w:eastAsia="zh-CN"/>
        </w:rPr>
        <w:t>*</w:t>
      </w:r>
      <w:r>
        <w:t xml:space="preserve">  =  964.9697 百万元。扫描 </w:t>
      </w:r>
      <w:r>
        <w:rPr>
          <w:b/>
          <w:bCs/>
          <w:i/>
          <w:iCs/>
        </w:rPr>
        <w:t>ε</w:t>
      </w:r>
      <w:r>
        <w:rPr>
          <w:rFonts w:hint="eastAsia" w:ascii="黑体" w:hAnsi="黑体" w:eastAsia="黑体" w:cs="黑体"/>
          <w:i/>
          <w:iCs/>
          <w:lang w:val="en-US" w:eastAsia="zh-CN"/>
        </w:rPr>
        <w:t>∈</w:t>
      </w:r>
      <w:r>
        <w:t>{0, 0.5%, 1%, 2%, 5%} 的结果见表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t>4</w:t>
      </w:r>
      <w:r>
        <w:fldChar w:fldCharType="end"/>
      </w:r>
      <w:r>
        <w:t>与图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t>13</w:t>
      </w:r>
      <w:r>
        <w:fldChar w:fldCharType="end"/>
      </w:r>
      <w:r>
        <w:t>。随着投资容许度扩大， 最大相对区域超额单调下降。该曲线明确给出成本与区域负担之间的交换关系， 而单一罚系数无法呈现这一</w:t>
      </w:r>
      <w:bookmarkStart w:id="21" w:name="bookmark33"/>
      <w:bookmarkEnd w:id="21"/>
      <w:r>
        <w:t>关系。</w:t>
      </w:r>
    </w:p>
    <w:p w14:paraId="0D13C26F">
      <w:pPr>
        <w:pStyle w:val="5"/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零缺供条件下投资与最大相对区域超额的 ε-Pareto 前沿</w:t>
      </w:r>
    </w:p>
    <w:tbl>
      <w:tblPr>
        <w:tblStyle w:val="12"/>
        <w:tblW w:w="0" w:type="auto"/>
        <w:tblInd w:w="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2455"/>
        <w:gridCol w:w="1969"/>
        <w:gridCol w:w="2121"/>
        <w:gridCol w:w="1467"/>
      </w:tblGrid>
      <w:tr w14:paraId="57476703">
        <w:tc>
          <w:tcPr>
            <w:tcW w:w="102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3DF8383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i/>
                <w:iCs/>
                <w:spacing w:val="9"/>
                <w:position w:val="4"/>
              </w:rPr>
              <w:t>ε</w:t>
            </w:r>
          </w:p>
        </w:tc>
        <w:tc>
          <w:tcPr>
            <w:tcW w:w="245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1D82B9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0" w:lineRule="auto"/>
              <w:ind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实际投资（百万元）</w:t>
            </w:r>
          </w:p>
        </w:tc>
        <w:tc>
          <w:tcPr>
            <w:tcW w:w="196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134DFC85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</w:rPr>
              <w:t>相对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i/>
                <w:iCs/>
                <w:spacing w:val="2"/>
              </w:rPr>
              <w:t>C</w:t>
            </w:r>
            <w:r>
              <w:rPr>
                <w:rFonts w:ascii="MS Gothic" w:hAnsi="MS Gothic" w:eastAsia="MS Gothic" w:cs="MS Gothic"/>
                <w:i/>
                <w:iCs/>
                <w:spacing w:val="2"/>
                <w:position w:val="7"/>
                <w:sz w:val="15"/>
                <w:szCs w:val="15"/>
              </w:rPr>
              <w:t>∗</w:t>
            </w:r>
            <w:r>
              <w:rPr>
                <w:rFonts w:ascii="MS Gothic" w:hAnsi="MS Gothic" w:eastAsia="MS Gothic" w:cs="MS Gothic"/>
                <w:spacing w:val="2"/>
                <w:position w:val="7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增投</w:t>
            </w:r>
          </w:p>
        </w:tc>
        <w:tc>
          <w:tcPr>
            <w:tcW w:w="21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DBD6D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最大相对超额</w:t>
            </w:r>
          </w:p>
        </w:tc>
        <w:tc>
          <w:tcPr>
            <w:tcW w:w="146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A1273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项目数</w:t>
            </w:r>
          </w:p>
        </w:tc>
      </w:tr>
      <w:tr w14:paraId="017E785E">
        <w:tc>
          <w:tcPr>
            <w:tcW w:w="102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5CEF2C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0</w:t>
            </w:r>
          </w:p>
        </w:tc>
        <w:tc>
          <w:tcPr>
            <w:tcW w:w="245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C68766F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1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964.970</w:t>
            </w:r>
          </w:p>
        </w:tc>
        <w:tc>
          <w:tcPr>
            <w:tcW w:w="1969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12682A3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0.000%</w:t>
            </w:r>
          </w:p>
        </w:tc>
        <w:tc>
          <w:tcPr>
            <w:tcW w:w="2121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479F35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3"/>
              </w:rPr>
              <w:t>8.377%</w:t>
            </w:r>
          </w:p>
        </w:tc>
        <w:tc>
          <w:tcPr>
            <w:tcW w:w="1467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0E56B11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1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6</w:t>
            </w:r>
          </w:p>
        </w:tc>
      </w:tr>
      <w:tr w14:paraId="65B74C3E"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B87AC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0.5%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71E3A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969.783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8394A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0.499%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3002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7.964%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BDD1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7</w:t>
            </w:r>
          </w:p>
        </w:tc>
      </w:tr>
      <w:tr w14:paraId="4D618054"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BEC3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5"/>
              </w:rPr>
              <w:t>1%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C6199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974.603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C49E7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7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0.998%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CF0BD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7.611%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8ACE9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6</w:t>
            </w:r>
          </w:p>
        </w:tc>
      </w:tr>
      <w:tr w14:paraId="37C749CD"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D75DA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2%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8A691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984.247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3273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5"/>
              </w:rPr>
              <w:t>1.998%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FF94F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7.100%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13C57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7</w:t>
            </w:r>
          </w:p>
        </w:tc>
      </w:tr>
      <w:tr w14:paraId="3CED462C">
        <w:tc>
          <w:tcPr>
            <w:tcW w:w="102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0047929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5%</w:t>
            </w:r>
          </w:p>
        </w:tc>
        <w:tc>
          <w:tcPr>
            <w:tcW w:w="245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0A0923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3"/>
              </w:rPr>
              <w:t>1013.040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100329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4.982%</w:t>
            </w:r>
          </w:p>
        </w:tc>
        <w:tc>
          <w:tcPr>
            <w:tcW w:w="21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DF31673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6.707%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F93E6FB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8</w:t>
            </w:r>
          </w:p>
        </w:tc>
      </w:tr>
    </w:tbl>
    <w:p w14:paraId="2802EA27">
      <w:pPr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18AD45A7"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4780" cy="3033395"/>
            <wp:effectExtent l="0" t="0" r="2540" b="14605"/>
            <wp:docPr id="29" name="图片 29" descr="fig_q3_epsilon_par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fig_q3_epsilon_paret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5509">
      <w:pPr>
        <w:pStyle w:val="5"/>
        <w:ind w:left="0" w:leftChars="0" w:firstLine="0" w:firstLineChars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lang w:eastAsia="zh-CN"/>
        </w:rPr>
        <w:t>ε</w:t>
      </w:r>
      <w:r>
        <w:rPr>
          <w:rFonts w:hint="default" w:ascii="Times New Roman" w:hAnsi="Times New Roman" w:cs="Times New Roman"/>
          <w:lang w:eastAsia="zh-CN"/>
        </w:rPr>
        <w:t>-Pareto</w:t>
      </w:r>
      <w:r>
        <w:rPr>
          <w:rFonts w:hint="eastAsia"/>
          <w:lang w:eastAsia="zh-CN"/>
        </w:rPr>
        <w:t xml:space="preserve"> 前沿散点</w:t>
      </w:r>
    </w:p>
    <w:p w14:paraId="0FE7803B">
      <w:pPr>
        <w:bidi w:val="0"/>
      </w:pPr>
      <w:r>
        <w:rPr>
          <w:rFonts w:hint="eastAsia"/>
          <w:lang w:val="en-US" w:eastAsia="zh-CN"/>
        </w:rPr>
        <w:t>图13中</w:t>
      </w:r>
      <w:r>
        <w:t>横轴为五年投资， 纵轴为最大区域相对预算超额。星号为推荐点</w:t>
      </w:r>
      <w:r>
        <w:rPr>
          <w:i/>
          <w:iCs/>
        </w:rPr>
        <w:t>ε</w:t>
      </w:r>
      <w:r>
        <w:t xml:space="preserve"> = 1%。</w:t>
      </w:r>
    </w:p>
    <w:p w14:paraId="4DCF6155">
      <w:pPr>
        <w:bidi w:val="0"/>
      </w:pPr>
      <w:r>
        <w:t xml:space="preserve">推荐 </w:t>
      </w:r>
      <w:r>
        <w:rPr>
          <w:i/>
          <w:iCs/>
        </w:rPr>
        <w:t>ε</w:t>
      </w:r>
      <w:r>
        <w:t xml:space="preserve"> = 1%：实际投资 974.6028 百万元，较 </w:t>
      </w:r>
      <w:r>
        <w:rPr>
          <w:i/>
          <w:iCs/>
        </w:rPr>
        <w:t>C</w:t>
      </w:r>
      <w:r>
        <w:rPr>
          <w:rFonts w:hint="eastAsia"/>
          <w:i/>
          <w:iCs/>
          <w:vertAlign w:val="superscript"/>
          <w:lang w:val="en-US" w:eastAsia="zh-CN"/>
        </w:rPr>
        <w:t>*</w:t>
      </w:r>
      <w:r>
        <w:t xml:space="preserve"> 增加 0.9983%，最大相对超额为7.6112%。加权基线投资 973.9 百万元、最大相对超额 8.2808%，推荐方案的投资仅增加约 0.70 百万元。区域超额总量由4575.58 增至 4631.89 kt，原因是优化目标控制最坏相对负担，而非超额总和。推荐方案包含 P12、P15、P16、P19、P23、P31 六个项目，2026至 2030 年投资分别为 543.35、270.13、83.30、77.82、0 百万元，碳裕度为 327.2、58.2、 3.1、0、0 kt。最大独立约束回代误差为 2.05 × 10</w:t>
      </w:r>
      <w:r>
        <w:rPr>
          <w:rFonts w:hint="eastAsia"/>
          <w:vertAlign w:val="superscript"/>
          <w:lang w:val="en-US" w:eastAsia="zh-CN"/>
        </w:rPr>
        <w:t>-</w:t>
      </w:r>
      <w:r>
        <w:rPr>
          <w:vertAlign w:val="superscript"/>
        </w:rPr>
        <w:t>12</w:t>
      </w:r>
      <w:r>
        <w:t xml:space="preserve"> ，五个 Pareto 点均达到最优，MILP gap 为 0。</w:t>
      </w:r>
    </w:p>
    <w:p w14:paraId="02AC8006">
      <w:pPr>
        <w:bidi w:val="0"/>
      </w:pPr>
      <w:r>
        <w:t>无项目五年累计越限 560.4 kt；按单位减排成本补到上限的贪心解投资 965.0 百万元。表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t>5</w:t>
      </w:r>
      <w:r>
        <w:fldChar w:fldCharType="end"/>
      </w:r>
      <w:r>
        <w:t>把这些可解释基线与两个 MILP 方案并列。2030 年碳上限的有限差分影子价格为 3.1616 百万元/kt，它只表示一次性投资目标下的局部规划边际成本，不宜直接当作市场碳价。问题二的量测自举还给出： 固定推荐计划在 2028 至 2030 年的条件触限概率为 32.0% 、35.8% 、35.8%，实际执行需要留动态安全裕度。</w:t>
      </w:r>
    </w:p>
    <w:p w14:paraId="7D5143B4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10835" cy="2618105"/>
            <wp:effectExtent l="0" t="0" r="14605" b="3175"/>
            <wp:docPr id="30" name="图片 30" descr="fig_q3_no_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fig_q3_no_project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E67D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无项目、贪心与 MILP 相对碳上限的差额热力图</w:t>
      </w:r>
    </w:p>
    <w:p w14:paraId="330DA316">
      <w:pPr>
        <w:bidi w:val="0"/>
      </w:pPr>
      <w:r>
        <w:rPr>
          <w:rFonts w:hint="eastAsia"/>
          <w:lang w:val="en-US" w:eastAsia="zh-CN"/>
        </w:rPr>
        <w:t>图14中</w:t>
      </w:r>
      <w:r>
        <w:t>正值越限、负值裕度；最终推荐由</w:t>
      </w:r>
      <w:bookmarkStart w:id="22" w:name="bookmark35"/>
      <w:bookmarkEnd w:id="22"/>
      <w:r>
        <w:t>图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t>13</w:t>
      </w:r>
      <w:r>
        <w:fldChar w:fldCharType="end"/>
      </w:r>
      <w:r>
        <w:t>的词典序前沿给出。</w:t>
      </w:r>
    </w:p>
    <w:p w14:paraId="226DE217">
      <w:pPr>
        <w:pStyle w:val="5"/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无项目、贪心与两类 MILP 方案比较</w:t>
      </w:r>
    </w:p>
    <w:tbl>
      <w:tblPr>
        <w:tblStyle w:val="12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1153"/>
        <w:gridCol w:w="1588"/>
        <w:gridCol w:w="1662"/>
        <w:gridCol w:w="1698"/>
        <w:gridCol w:w="969"/>
      </w:tblGrid>
      <w:tr w14:paraId="0E62881A">
        <w:tc>
          <w:tcPr>
            <w:tcW w:w="195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E39CB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1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方案</w:t>
            </w:r>
          </w:p>
        </w:tc>
        <w:tc>
          <w:tcPr>
            <w:tcW w:w="115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56F21A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5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投资</w:t>
            </w:r>
          </w:p>
        </w:tc>
        <w:tc>
          <w:tcPr>
            <w:tcW w:w="158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529B3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五年总越限</w:t>
            </w:r>
          </w:p>
        </w:tc>
        <w:tc>
          <w:tcPr>
            <w:tcW w:w="16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649BE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区域超额合计</w:t>
            </w:r>
          </w:p>
        </w:tc>
        <w:tc>
          <w:tcPr>
            <w:tcW w:w="169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B1F47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最大相对超额</w:t>
            </w:r>
          </w:p>
        </w:tc>
        <w:tc>
          <w:tcPr>
            <w:tcW w:w="96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1D9C6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项目数</w:t>
            </w:r>
          </w:p>
        </w:tc>
      </w:tr>
      <w:tr w14:paraId="37DAFEB9">
        <w:tc>
          <w:tcPr>
            <w:tcW w:w="1957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F6D29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无项目</w:t>
            </w:r>
          </w:p>
        </w:tc>
        <w:tc>
          <w:tcPr>
            <w:tcW w:w="115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47FB509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0</w:t>
            </w:r>
          </w:p>
        </w:tc>
        <w:tc>
          <w:tcPr>
            <w:tcW w:w="158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4DEA53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560.4</w:t>
            </w:r>
          </w:p>
        </w:tc>
        <w:tc>
          <w:tcPr>
            <w:tcW w:w="1662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9415091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5078.7</w:t>
            </w:r>
          </w:p>
        </w:tc>
        <w:tc>
          <w:tcPr>
            <w:tcW w:w="169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B377F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不适用</w:t>
            </w:r>
          </w:p>
        </w:tc>
        <w:tc>
          <w:tcPr>
            <w:tcW w:w="969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70287FDA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0</w:t>
            </w:r>
          </w:p>
        </w:tc>
      </w:tr>
      <w:tr w14:paraId="35E5C367"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9EAA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240" w:lineRule="auto"/>
              <w:ind w:firstLine="0" w:firstLineChars="0"/>
              <w:jc w:val="center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贪心</w:t>
            </w: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补到上限</w:t>
            </w: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48F7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1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965.0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5B4FA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0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074AF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1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4642.2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52F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不适用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AFF4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6</w:t>
            </w:r>
          </w:p>
        </w:tc>
      </w:tr>
      <w:tr w14:paraId="01313A30"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872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5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加权罚基线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4A132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2"/>
              </w:rPr>
              <w:t>973.9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657A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0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0D022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5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4575.58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D2E0D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3"/>
              </w:rPr>
              <w:t>8.281%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E713F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7</w:t>
            </w:r>
          </w:p>
        </w:tc>
      </w:tr>
      <w:tr w14:paraId="462E3C18">
        <w:tc>
          <w:tcPr>
            <w:tcW w:w="19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853B65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i/>
                <w:iCs/>
                <w:spacing w:val="3"/>
              </w:rPr>
              <w:t>ε</w:t>
            </w:r>
            <w:r>
              <w:rPr>
                <w:i/>
                <w:iCs/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=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 xml:space="preserve">1% </w:t>
            </w:r>
            <w:r>
              <w:rPr>
                <w:rFonts w:ascii="宋体" w:hAnsi="宋体" w:eastAsia="宋体" w:cs="宋体"/>
                <w:spacing w:val="3"/>
              </w:rPr>
              <w:t>推荐</w:t>
            </w:r>
          </w:p>
        </w:tc>
        <w:tc>
          <w:tcPr>
            <w:tcW w:w="115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4B9CA83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left="123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974.603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36BE1C9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0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C638F54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4631.89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36F102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1"/>
              </w:rPr>
              <w:t>7.611%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B74702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ind w:left="0" w:lef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t>6</w:t>
            </w:r>
          </w:p>
        </w:tc>
      </w:tr>
    </w:tbl>
    <w:p w14:paraId="185A6566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23" w:name="_Toc14973"/>
      <w:r>
        <w:t>问题四：送端碳不确定与鲁棒滚动</w:t>
      </w:r>
      <w:bookmarkEnd w:id="23"/>
    </w:p>
    <w:p w14:paraId="5FF70F25">
      <w:pPr>
        <w:pStyle w:val="3"/>
        <w:numPr>
          <w:ilvl w:val="1"/>
          <w:numId w:val="7"/>
        </w:numPr>
        <w:bidi w:val="0"/>
        <w:ind w:left="567" w:leftChars="0" w:hanging="567" w:firstLineChars="0"/>
      </w:pPr>
      <w:bookmarkStart w:id="24" w:name="_Toc29054"/>
      <w:r>
        <w:t>冲击如何传到消费侧</w:t>
      </w:r>
      <w:bookmarkEnd w:id="24"/>
    </w:p>
    <w:p w14:paraId="428739B8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40" w:lineRule="auto"/>
        <w:ind w:firstLine="484"/>
        <w:jc w:val="left"/>
        <w:textAlignment w:val="baseline"/>
      </w:pPr>
      <w:r>
        <w:t>为保持比较口径一致，问题四的压力测试沿用问题三的加权罚基线</w:t>
      </w:r>
      <w:r>
        <w:rPr>
          <w:rFonts w:hint="eastAsia"/>
          <w:lang w:val="en-US" w:eastAsia="zh-CN"/>
        </w:rPr>
        <w:t>(</w:t>
      </w:r>
      <w:r>
        <w:t>投资 973.9 百万元</w:t>
      </w:r>
      <w:r>
        <w:rPr>
          <w:rFonts w:hint="eastAsia"/>
          <w:lang w:val="en-US" w:eastAsia="zh-CN"/>
        </w:rPr>
        <w:t>)</w:t>
      </w:r>
      <w:r>
        <w:t>；</w:t>
      </w:r>
      <w:r>
        <w:rPr>
          <w:i/>
          <w:iCs/>
        </w:rPr>
        <w:t>ε</w:t>
      </w:r>
      <w:r>
        <w:t xml:space="preserve"> = 1% 推荐计划的量测触限风险已在问题二列出。加权基线在 2028 至 2030 年接近省级上限，送端碳因子上升时几乎没有剩余裕度。记 </w:t>
      </w:r>
      <w:r>
        <w:rPr>
          <w:i/>
          <w:iCs/>
        </w:rPr>
        <w:t>ξ</w:t>
      </w:r>
      <w:r>
        <w:rPr>
          <w:b/>
          <w:bCs/>
          <w:i/>
          <w:iCs/>
          <w:vertAlign w:val="subscript"/>
        </w:rPr>
        <w:t>j,y</w:t>
      </w:r>
      <w:r>
        <w:t xml:space="preserve">  为接入区 </w:t>
      </w:r>
      <w:r>
        <w:rPr>
          <w:i/>
          <w:iCs/>
        </w:rPr>
        <w:t>j</w:t>
      </w:r>
      <w:r>
        <w:t xml:space="preserve">  的因子乘数。若将进口偏差直接计入接入区碳账，会与 </w:t>
      </w:r>
      <w:r>
        <w:rPr>
          <w:i/>
          <w:iCs/>
        </w:rPr>
        <w:t>ρκ</w:t>
      </w:r>
      <w:r>
        <w:t xml:space="preserve"> 基线重复计算。与问题二一致的传导方式是先根据 2025 年份额计算“源自</w:t>
      </w:r>
      <w:r>
        <w:rPr>
          <w:rFonts w:hint="eastAsia"/>
          <w:lang w:val="en-US" w:eastAsia="zh-CN"/>
        </w:rPr>
        <w:t xml:space="preserve"> </w:t>
      </w:r>
      <w:r>
        <w:rPr>
          <w:i/>
          <w:iCs/>
        </w:rPr>
        <w:t>j</w:t>
      </w:r>
      <w:r>
        <w:rPr>
          <w:rFonts w:hint="eastAsia"/>
          <w:lang w:val="en-US" w:eastAsia="zh-CN"/>
        </w:rPr>
        <w:t xml:space="preserve"> </w:t>
      </w:r>
      <w:r>
        <w:t xml:space="preserve">的消费电量” </w:t>
      </w:r>
      <m:oMath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W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i,y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/>
          <w:rPr>
            <w:rFonts w:hint="default" w:ascii="Cambria Math" w:hAnsi="Cambria Math" w:eastAsia="Segoe UI Emoji"/>
            <w:sz w:val="24"/>
          </w:rPr>
          <m:t>=</m:t>
        </m:r>
        <m:nary>
          <m:naryPr>
            <m:chr m:val="∑"/>
            <m:limLoc m:val="subSup"/>
            <m:supHide m:val="1"/>
            <m:ctrlPr>
              <w:rPr>
                <w:rFonts w:hint="default" w:ascii="Cambria Math" w:hAnsi="Cambria Math" w:eastAsia="Segoe UI Emoji"/>
                <w:sz w:val="24"/>
              </w:rPr>
            </m:ctrlPr>
          </m:naryPr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i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  <m:sup>
            <m:ctrlPr>
              <w:rPr>
                <w:rFonts w:ascii="Cambria Math" w:hAnsi="Cambria Math" w:eastAsia="Segoe UI Emoji"/>
                <w:sz w:val="24"/>
              </w:rPr>
            </m:ctrlPr>
          </m:sup>
          <m:e>
            <m:r>
              <m:rPr/>
              <w:rPr>
                <w:rFonts w:hint="default" w:ascii="Cambria Math" w:hAnsi="Cambria Math" w:eastAsia="Segoe UI Emoji"/>
                <w:sz w:val="24"/>
              </w:rPr>
              <m:t>(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nary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D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i,y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−</m:t>
        </m:r>
        <m:sSubSup>
          <m:sSubSupPr>
            <m:ctrlPr>
              <w:rPr>
                <w:rFonts w:hint="default" w:ascii="Cambria Math" w:hAnsi="Cambria Math" w:eastAsia="Segoe UI Emoji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egoe UI Emoji"/>
                <w:sz w:val="24"/>
              </w:rPr>
              <m:t>G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i,y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24"/>
              </w:rPr>
              <m:t>P,</m:t>
            </m:r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V</m:t>
            </m:r>
            <m:ctrlPr>
              <w:rPr>
                <w:rFonts w:ascii="Cambria Math" w:hAnsi="Cambria Math" w:eastAsia="Segoe UI Emoji"/>
                <w:sz w:val="24"/>
              </w:rPr>
            </m:ctrlPr>
          </m:sup>
        </m:sSubSup>
        <m:r>
          <m:rPr/>
          <w:rPr>
            <w:rFonts w:hint="default" w:ascii="Cambria Math" w:hAnsi="Cambria Math" w:eastAsia="Segoe UI Emoji"/>
            <w:sz w:val="24"/>
          </w:rPr>
          <m:t>)</m:t>
        </m:r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S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i</m:t>
            </m:r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j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</m:oMath>
      <w:r>
        <w:t>，再令</w:t>
      </w:r>
    </w:p>
    <w:p w14:paraId="3096EAC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240" w:lineRule="auto"/>
        <w:ind w:firstLine="484"/>
        <w:jc w:val="left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E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κ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j</m:t>
                  </m:r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lang w:val="en-US" w:eastAsia="zh-CN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</m:ba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ξ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j,y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−1)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W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j,y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i/>
                      <w:sz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(10)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497FDBB3">
      <w:pPr>
        <w:bidi w:val="0"/>
      </w:pPr>
      <w:r>
        <w:t xml:space="preserve">将 </w:t>
      </w:r>
      <w:r>
        <w:rPr>
          <w:i/>
          <w:iCs/>
        </w:rPr>
        <w:t>S</w:t>
      </w:r>
      <w:r>
        <w:rPr>
          <w:b/>
          <w:bCs/>
          <w:i/>
          <w:iCs/>
          <w:vertAlign w:val="subscript"/>
        </w:rPr>
        <w:t>ij</w:t>
      </w:r>
      <w:r>
        <w:rPr>
          <w:i/>
          <w:iCs/>
        </w:rPr>
        <w:t xml:space="preserve"> </w:t>
      </w:r>
      <w:r>
        <w:t xml:space="preserve"> 固定在 2025 年水平是一项较强假设。若只计接入区进口电量而忽略转供，S3-2030增量由 454.5 降至 437.8 kt</w:t>
      </w:r>
      <w:r>
        <w:rPr>
          <w:rFonts w:hint="eastAsia"/>
          <w:lang w:val="en-US" w:eastAsia="zh-CN"/>
        </w:rPr>
        <w:t>(-</w:t>
      </w:r>
      <w:r>
        <w:t>3.7%</w:t>
      </w:r>
      <w:r>
        <w:rPr>
          <w:rFonts w:hint="eastAsia"/>
          <w:lang w:val="en-US" w:eastAsia="zh-CN"/>
        </w:rPr>
        <w:t>)</w:t>
      </w:r>
      <w:r>
        <w:t xml:space="preserve">； 若再将 </w:t>
      </w:r>
      <w:r>
        <w:rPr>
          <w:i/>
          <w:iCs/>
        </w:rPr>
        <w:t>S</w:t>
      </w:r>
      <w:r>
        <w:t xml:space="preserve"> 向 A4 集中 20%，增量则升至 495.7 kt。当前模型只描述给定来源份额下的因子冲击，未覆盖 </w:t>
      </w:r>
      <w:r>
        <w:rPr>
          <w:i/>
          <w:iCs/>
        </w:rPr>
        <w:t>S</w:t>
      </w:r>
      <w:r>
        <w:t xml:space="preserve"> 的长期漂移。</w:t>
      </w:r>
    </w:p>
    <w:p w14:paraId="60A11622">
      <w:pPr>
        <w:pStyle w:val="3"/>
        <w:numPr>
          <w:ilvl w:val="1"/>
          <w:numId w:val="7"/>
        </w:numPr>
        <w:bidi w:val="0"/>
      </w:pPr>
      <w:bookmarkStart w:id="25" w:name="_Toc9069"/>
      <w:r>
        <w:t>压力测试与双口径 POR</w:t>
      </w:r>
      <w:bookmarkEnd w:id="25"/>
    </w:p>
    <w:p w14:paraId="153F34DB">
      <w:pPr>
        <w:bidi w:val="0"/>
      </w:pPr>
      <w:r>
        <w:t xml:space="preserve">加权基线在 S3 的 2028/2029/2030 年越限为 195.6/338.5/454.5 kt；完整 </w:t>
      </w:r>
      <w:r>
        <w:rPr>
          <w:i/>
          <w:iCs/>
        </w:rPr>
        <w:t>Γ</w:t>
      </w:r>
      <w:r>
        <w:t xml:space="preserve"> 集的逐年最坏越限为 244.4/394.2/486.9 kt，合计 1125.49 kt。对 </w:t>
      </w:r>
      <w:r>
        <w:rPr>
          <w:i/>
          <w:iCs/>
        </w:rPr>
        <w:t>ξ</w:t>
      </w:r>
      <w:r>
        <w:t xml:space="preserve"> 采用预算不确定集 </w:t>
      </w:r>
      <w:r>
        <w:rPr>
          <w:vertAlign w:val="superscript"/>
        </w:rPr>
        <w:fldChar w:fldCharType="begin"/>
      </w:r>
      <w:r>
        <w:instrText xml:space="preserve"> REF _Ref19066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[20]</w:t>
      </w:r>
      <w:r>
        <w:rPr>
          <w:vertAlign w:val="superscript"/>
        </w:rPr>
        <w:fldChar w:fldCharType="end"/>
      </w:r>
    </w:p>
    <w:p w14:paraId="497B26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egoe UI Emoji" w:cs="Times New Roman"/>
                      <w:i/>
                      <w:sz w:val="24"/>
                    </w:rPr>
                    <m:t>U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Γ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)=</m:t>
              </m:r>
              <m:d>
                <m:dPr>
                  <m:begChr m:val="{"/>
                  <m:endChr m:val="}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z:0≤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z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≤1, 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j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≤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Γ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(11)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46202BB4">
      <w:pPr>
        <w:keepNext w:val="0"/>
        <w:keepLines w:val="0"/>
        <w:widowControl/>
        <w:suppressLineNumbers w:val="0"/>
        <w:jc w:val="left"/>
        <w:rPr>
          <w:spacing w:val="-2"/>
        </w:rPr>
      </w:pPr>
      <w:r>
        <w:t>内层最大增量对偶化为</w:t>
      </w:r>
      <w:r>
        <w:rPr>
          <w:spacing w:val="-38"/>
        </w:rPr>
        <w:t xml:space="preserve"> </w:t>
      </w:r>
      <m:oMath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Γ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π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/>
          <w:rPr>
            <w:rFonts w:hint="default" w:ascii="Cambria Math" w:hAnsi="Cambria Math" w:eastAsia="Segoe UI Emoji"/>
            <w:sz w:val="24"/>
          </w:rPr>
          <m:t>+</m:t>
        </m:r>
        <m:nary>
          <m:naryPr>
            <m:chr m:val="∑"/>
            <m:limLoc m:val="subSup"/>
            <m:supHide m:val="1"/>
            <m:ctrlPr>
              <w:rPr>
                <w:rFonts w:hint="default" w:ascii="Cambria Math" w:hAnsi="Cambria Math" w:eastAsia="Segoe UI Emoji"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24"/>
              </w:rPr>
              <m:t>j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  <m:sup>
            <m:ctrlPr>
              <w:rPr>
                <w:rFonts w:ascii="Cambria Math" w:hAnsi="Cambria Math" w:eastAsia="Segoe UI Emoji"/>
                <w:sz w:val="2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μ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j,y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24"/>
              </w:rPr>
            </m:ctrlPr>
          </m:e>
        </m:nary>
      </m:oMath>
      <w:r>
        <w:rPr>
          <w:rFonts w:ascii="Times New Roman" w:hAnsi="Times New Roman" w:eastAsia="Times New Roman" w:cs="Times New Roman"/>
          <w:i/>
          <w:iCs/>
          <w:spacing w:val="6"/>
          <w:position w:val="-3"/>
          <w:sz w:val="15"/>
          <w:szCs w:val="15"/>
        </w:rPr>
        <w:t xml:space="preserve"> </w:t>
      </w:r>
      <w:r>
        <w:rPr>
          <w:rFonts w:hint="eastAsia"/>
          <w:spacing w:val="6"/>
          <w:lang w:val="en-US" w:eastAsia="zh-CN"/>
        </w:rPr>
        <w:t>后带入MILP。</w:t>
      </w:r>
      <w:r>
        <w:rPr>
          <w:rFonts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当前 </w:t>
      </w:r>
      <w:r>
        <w:rPr>
          <w:rFonts w:ascii="TeXGyreTermes-Regular-Identity-" w:hAnsi="TeXGyreTermes-Regular-Identity-" w:eastAsia="TeXGyreTermes-Regular-Identity-" w:cs="TeXGyreTermes-Regular-Identity-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POR 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模型允许省级碳缺口，并按 </w:t>
      </w:r>
      <w:r>
        <w:rPr>
          <w:rFonts w:hint="default" w:ascii="TeXGyreTermes-Regular-Identity-" w:hAnsi="TeXGyreTermes-Regular-Identity-" w:eastAsia="TeXGyreTermes-Regular-Identity-" w:cs="TeXGyreTermes-Regular-Identity-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50 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>百万元</w:t>
      </w:r>
      <w:r>
        <w:rPr>
          <w:rFonts w:hint="default" w:ascii="TeXGyreTermes-Regular-Identity-" w:hAnsi="TeXGyreTermes-Regular-Identity-" w:eastAsia="TeXGyreTermes-Regular-Identity-" w:cs="TeXGyreTermes-Regular-Identity-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/kt 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处罚，因此得到的是软风险方案；求解器返回可行不代表硬约束下可行。扫描 </w:t>
      </w:r>
      <w:r>
        <w:rPr>
          <w:rFonts w:ascii="CMMI12" w:hAnsi="CMMI12" w:eastAsia="CMMI12" w:cs="CMMI12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τ</w:t>
      </w:r>
      <w:r>
        <w:rPr>
          <w:rFonts w:ascii="CMR12" w:hAnsi="CMR12" w:eastAsia="CMR12" w:cs="CMR12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Γ</w:t>
      </w:r>
      <w:r>
        <w:rPr>
          <w:rFonts w:ascii="CMR12" w:hAnsi="CMR12" w:eastAsia="CMR12" w:cs="CMR12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后，需要分别报告设计集 </w:t>
      </w:r>
      <w:r>
        <w:rPr>
          <w:rFonts w:hint="default" w:ascii="Times New Roman" w:hAnsi="Times New Roman" w:eastAsia="CMSY10" w:cs="Times New Roman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U</w:t>
      </w:r>
      <w:r>
        <w:rPr>
          <w:rFonts w:hint="default" w:ascii="CMR12" w:hAnsi="CMR12" w:eastAsia="CMR12" w:cs="CMR12"/>
          <w:snapToGrid w:val="0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MMI12" w:hAnsi="CMMI12" w:eastAsia="CMMI12" w:cs="CMMI12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τ</w:t>
      </w:r>
      <w:r>
        <w:rPr>
          <w:rFonts w:hint="default" w:ascii="CMR12" w:hAnsi="CMR12" w:eastAsia="CMR12" w:cs="CMR12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Γ</w:t>
      </w:r>
      <w:r>
        <w:rPr>
          <w:rFonts w:hint="default" w:ascii="CMR12" w:hAnsi="CMR12" w:eastAsia="CMR12" w:cs="CMR12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上的违约，以及将全部方案置于统一 </w:t>
      </w:r>
      <w:r>
        <w:rPr>
          <w:rFonts w:hint="default" w:ascii="Times New Roman" w:hAnsi="Times New Roman" w:eastAsia="CMSY10" w:cs="Times New Roman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U</w:t>
      </w:r>
      <w:r>
        <w:rPr>
          <w:rFonts w:hint="default" w:ascii="CMR12" w:hAnsi="CMR12" w:eastAsia="CMR12" w:cs="CMR12"/>
          <w:snapToGrid w:val="0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MR12" w:hAnsi="CMR12" w:eastAsia="CMR12" w:cs="CMR12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Γ</w:t>
      </w:r>
      <w:r>
        <w:rPr>
          <w:rFonts w:hint="default" w:ascii="CMR12" w:hAnsi="CMR12" w:eastAsia="CMR12" w:cs="CMR12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>下得到的回测违约，见表</w:t>
      </w:r>
      <w:r>
        <w:rPr>
          <w:rFonts w:hint="default" w:ascii="TeXGyreTermes-Regular-Identity-" w:hAnsi="TeXGyreTermes-Regular-Identity-" w:eastAsia="TeXGyreTermes-Regular-Identity-" w:cs="TeXGyreTermes-Regular-Identity-"/>
          <w:snapToGrid w:val="0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default" w:ascii="FandolSong-Regular-Identity-H" w:hAnsi="FandolSong-Regular-Identity-H" w:eastAsia="FandolSong-Regular-Identity-H" w:cs="FandolSong-Regular-Identity-H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D460D41">
      <w:pPr>
        <w:pStyle w:val="5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lang w:eastAsia="zh-CN"/>
        </w:rPr>
        <w:t>Γ</w:t>
      </w:r>
      <w:r>
        <w:rPr>
          <w:rFonts w:hint="eastAsia"/>
          <w:lang w:eastAsia="zh-CN"/>
        </w:rPr>
        <w:t>缩放下的双口径 price of robustness</w:t>
      </w:r>
    </w:p>
    <w:tbl>
      <w:tblPr>
        <w:tblStyle w:val="12"/>
        <w:tblW w:w="0" w:type="auto"/>
        <w:tblInd w:w="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104"/>
        <w:gridCol w:w="2345"/>
        <w:gridCol w:w="2068"/>
      </w:tblGrid>
      <w:tr w14:paraId="5419DEB4">
        <w:tc>
          <w:tcPr>
            <w:tcW w:w="141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1B743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τ</w:t>
            </w:r>
          </w:p>
        </w:tc>
        <w:tc>
          <w:tcPr>
            <w:tcW w:w="21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1490EA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投资（百万元）</w:t>
            </w:r>
          </w:p>
        </w:tc>
        <w:tc>
          <w:tcPr>
            <w:tcW w:w="234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01C0F37E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设计集 τΓ 违约</w:t>
            </w:r>
          </w:p>
        </w:tc>
        <w:tc>
          <w:tcPr>
            <w:tcW w:w="206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2340FFE6">
            <w:pPr>
              <w:bidi w:val="0"/>
              <w:ind w:left="0" w:leftChars="0" w:firstLine="0" w:firstLineChars="0"/>
              <w:jc w:val="center"/>
            </w:pPr>
            <w:r>
              <w:t>统一 Γ 回测违约</w:t>
            </w:r>
          </w:p>
        </w:tc>
      </w:tr>
      <w:tr w14:paraId="74F58447">
        <w:tc>
          <w:tcPr>
            <w:tcW w:w="1413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51B2FE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0.0</w:t>
            </w:r>
          </w:p>
        </w:tc>
        <w:tc>
          <w:tcPr>
            <w:tcW w:w="2104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64635F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985.5</w:t>
            </w:r>
          </w:p>
        </w:tc>
        <w:tc>
          <w:tcPr>
            <w:tcW w:w="234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16E7D41">
            <w:pPr>
              <w:bidi w:val="0"/>
              <w:ind w:left="0" w:leftChars="0" w:firstLine="0" w:firstLineChars="0"/>
              <w:jc w:val="center"/>
            </w:pPr>
            <w:r>
              <w:t>0.00</w:t>
            </w:r>
          </w:p>
        </w:tc>
        <w:tc>
          <w:tcPr>
            <w:tcW w:w="206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7807559B">
            <w:pPr>
              <w:bidi w:val="0"/>
              <w:ind w:left="0" w:leftChars="0" w:firstLine="0" w:firstLineChars="0"/>
              <w:jc w:val="center"/>
            </w:pPr>
            <w:r>
              <w:t>1125.49</w:t>
            </w:r>
          </w:p>
        </w:tc>
      </w:tr>
      <w:tr w14:paraId="0F488E10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2A6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0.5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C050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3387.4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EA352">
            <w:pPr>
              <w:bidi w:val="0"/>
              <w:ind w:left="0" w:leftChars="0" w:firstLine="0" w:firstLineChars="0"/>
              <w:jc w:val="center"/>
            </w:pPr>
            <w:r>
              <w:t>0.00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27C54">
            <w:pPr>
              <w:bidi w:val="0"/>
              <w:ind w:left="0" w:leftChars="0" w:firstLine="0" w:firstLineChars="0"/>
              <w:jc w:val="center"/>
            </w:pPr>
            <w:r>
              <w:t>338.15</w:t>
            </w:r>
          </w:p>
        </w:tc>
      </w:tr>
      <w:tr w14:paraId="1B13E6FE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44B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1.0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E19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4848.8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B86CD">
            <w:pPr>
              <w:bidi w:val="0"/>
              <w:ind w:left="0" w:leftChars="0" w:firstLine="0" w:firstLineChars="0"/>
              <w:jc w:val="center"/>
            </w:pPr>
            <w:r>
              <w:t>14.85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BAE03">
            <w:pPr>
              <w:bidi w:val="0"/>
              <w:ind w:left="0" w:leftChars="0" w:firstLine="0" w:firstLineChars="0"/>
              <w:jc w:val="center"/>
            </w:pPr>
            <w:r>
              <w:t>14.85</w:t>
            </w:r>
          </w:p>
        </w:tc>
      </w:tr>
      <w:tr w14:paraId="0AEE4B5C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266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1.5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427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5160.4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F0366">
            <w:pPr>
              <w:bidi w:val="0"/>
              <w:ind w:left="0" w:leftChars="0" w:firstLine="0" w:firstLineChars="0"/>
              <w:jc w:val="center"/>
            </w:pPr>
            <w:r>
              <w:t>166.63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E6578">
            <w:pPr>
              <w:bidi w:val="0"/>
              <w:ind w:left="0" w:leftChars="0" w:firstLine="0" w:firstLineChars="0"/>
              <w:jc w:val="center"/>
            </w:pPr>
            <w:r>
              <w:t>14.89</w:t>
            </w:r>
          </w:p>
        </w:tc>
      </w:tr>
      <w:tr w14:paraId="77519414">
        <w:tc>
          <w:tcPr>
            <w:tcW w:w="14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9DA25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2.0</w:t>
            </w:r>
          </w:p>
        </w:tc>
        <w:tc>
          <w:tcPr>
            <w:tcW w:w="21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2CF83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5160.4</w:t>
            </w:r>
          </w:p>
        </w:tc>
        <w:tc>
          <w:tcPr>
            <w:tcW w:w="23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5E3DCC">
            <w:pPr>
              <w:bidi w:val="0"/>
              <w:ind w:left="0" w:leftChars="0" w:firstLine="0" w:firstLineChars="0"/>
              <w:jc w:val="center"/>
            </w:pPr>
            <w:r>
              <w:t>211.34</w:t>
            </w:r>
          </w:p>
        </w:tc>
        <w:tc>
          <w:tcPr>
            <w:tcW w:w="206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9F5039A">
            <w:pPr>
              <w:bidi w:val="0"/>
              <w:ind w:left="0" w:leftChars="0" w:firstLine="0" w:firstLineChars="0"/>
              <w:jc w:val="center"/>
            </w:pPr>
            <w:r>
              <w:t>14.89</w:t>
            </w:r>
          </w:p>
        </w:tc>
      </w:tr>
    </w:tbl>
    <w:p w14:paraId="08804AD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9" w:line="240" w:lineRule="auto"/>
        <w:ind w:left="0" w:leftChars="0" w:firstLine="0" w:firstLineChars="0"/>
        <w:jc w:val="both"/>
        <w:textAlignment w:val="baseline"/>
        <w:rPr>
          <w:spacing w:val="-2"/>
        </w:rPr>
      </w:pPr>
    </w:p>
    <w:p w14:paraId="445CE101">
      <w:pPr>
        <w:pStyle w:val="6"/>
        <w:spacing w:before="78" w:line="220" w:lineRule="auto"/>
        <w:ind w:left="2" w:right="120" w:firstLine="479"/>
        <w:jc w:val="both"/>
        <w:rPr>
          <w:vertAlign w:val="superscript"/>
        </w:rPr>
      </w:pPr>
      <w:r>
        <w:rPr>
          <w:i/>
          <w:iCs/>
          <w:spacing w:val="-2"/>
        </w:rPr>
        <w:t>τ</w:t>
      </w:r>
      <w:r>
        <w:rPr>
          <w:i/>
          <w:iCs/>
          <w:spacing w:val="36"/>
        </w:rPr>
        <w:t xml:space="preserve"> </w:t>
      </w:r>
      <w:r>
        <w:t>&gt; 1 时设计集扩大，而项目与资源上限不变，因而软违约上升；统一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i/>
          <w:iCs/>
          <w:spacing w:val="-2"/>
        </w:rPr>
        <w:t>Γ</w:t>
      </w:r>
      <w:r>
        <w:rPr>
          <w:spacing w:val="31"/>
        </w:rPr>
        <w:t xml:space="preserve"> </w:t>
      </w:r>
      <w:r>
        <w:t>回测下的违约</w:t>
      </w:r>
      <w:r>
        <w:rPr>
          <w:rFonts w:hint="eastAsia" w:ascii="Times New Roman" w:hAnsi="Times New Roman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t>仅由 14.85 kt 变为 14.89 kt，基本稳定</w:t>
      </w:r>
      <w:r>
        <w:t>。</w:t>
      </w:r>
      <w:r>
        <w:rPr>
          <w:i/>
          <w:iCs/>
          <w:spacing w:val="2"/>
        </w:rPr>
        <w:t>τ</w:t>
      </w:r>
      <w:r>
        <w:rPr>
          <w:i/>
          <w:iCs/>
          <w:spacing w:val="44"/>
        </w:rPr>
        <w:t xml:space="preserve"> </w:t>
      </w:r>
      <w:r>
        <w:t>= 1 的软方案投资 4834.5 百万元，较确定性基线增加 3860.6 百万元，但仍存在 14.85 kt 缺口。</w:t>
      </w:r>
    </w:p>
    <w:p w14:paraId="378C0E08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61255" cy="2456815"/>
            <wp:effectExtent l="0" t="0" r="6985" b="12065"/>
            <wp:docPr id="31" name="图片 31" descr="fig_q4_st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ig_q4_stres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00E1">
      <w:pPr>
        <w:pStyle w:val="5"/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问题三加权罚基线的越限热力图</w:t>
      </w:r>
    </w:p>
    <w:p w14:paraId="65502233">
      <w:pPr>
        <w:bidi w:val="0"/>
      </w:pPr>
      <w:r>
        <w:rPr>
          <w:rFonts w:hint="eastAsia"/>
          <w:lang w:val="en-US" w:eastAsia="zh-CN"/>
        </w:rPr>
        <w:t>图15中为 情景 × 年份。 S0全零，S3-2030 为 454.5 kt。</w:t>
      </w:r>
    </w:p>
    <w:p w14:paraId="419165C0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60570" cy="2432050"/>
            <wp:effectExtent l="0" t="0" r="11430" b="6350"/>
            <wp:docPr id="32" name="图片 32" descr="fig_q4_p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fig_q4_por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B04E">
      <w:pPr>
        <w:pStyle w:val="5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鲁棒性代价的气泡散点</w:t>
      </w:r>
      <w:r>
        <w:rPr>
          <w:rFonts w:hint="eastAsia"/>
          <w:lang w:val="en-US" w:eastAsia="zh-CN"/>
        </w:rPr>
        <w:t>图</w:t>
      </w:r>
    </w:p>
    <w:p w14:paraId="5CED4DB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图16中</w:t>
      </w:r>
      <w:r>
        <w:t xml:space="preserve">横轴投资、纵轴碳缺口， 气泡大小随 </w:t>
      </w:r>
      <w:r>
        <w:rPr>
          <w:b/>
          <w:bCs/>
          <w:i/>
          <w:iCs/>
        </w:rPr>
        <w:t>τ</w:t>
      </w:r>
      <w:r>
        <w:t xml:space="preserve"> 增大； 圆点为统一 Γ 回测，方点为设计集违约。</w:t>
      </w:r>
    </w:p>
    <w:p w14:paraId="11213EC6">
      <w:pPr>
        <w:pStyle w:val="3"/>
        <w:numPr>
          <w:ilvl w:val="1"/>
          <w:numId w:val="7"/>
        </w:numPr>
        <w:bidi w:val="0"/>
        <w:ind w:left="567" w:leftChars="0" w:hanging="567" w:firstLineChars="0"/>
      </w:pPr>
      <w:bookmarkStart w:id="26" w:name="_Toc21759"/>
      <w:r>
        <w:t>硬可行半径与恢复边界</w:t>
      </w:r>
      <w:bookmarkEnd w:id="26"/>
    </w:p>
    <w:p w14:paraId="0D3DAAB0">
      <w:pPr>
        <w:bidi w:val="0"/>
      </w:pPr>
      <w:r>
        <w:t>去掉碳缺口松弛后，完整硬可行半径定义为</w:t>
      </w:r>
    </w:p>
    <w:p w14:paraId="6B1062C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p>
                <m:sSup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τ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∗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egoe UI Emoji"/>
                  <w:sz w:val="24"/>
                </w:rPr>
                <m:t>=</m:t>
              </m:r>
              <m:func>
                <m:func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max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τ:∃x, 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(x,ξ)≤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24"/>
                                </w:rPr>
                              </m:ctrlPr>
                            </m:e>
                          </m:ba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, ∀ξ∈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hint="default" w:ascii="Cambria Math" w:hAnsi="Cambria Math" w:eastAsia="MS Mincho"/>
                              <w:sz w:val="24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Γ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), ∀y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func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(12)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1813B230">
      <w:pPr>
        <w:pStyle w:val="6"/>
        <w:spacing w:before="209" w:line="225" w:lineRule="auto"/>
        <w:ind w:left="2" w:right="86"/>
        <w:jc w:val="both"/>
        <w:rPr>
          <w:rFonts w:ascii="宋体" w:hAnsi="宋体" w:eastAsia="宋体" w:cs="宋体"/>
        </w:rPr>
      </w:pPr>
      <w:r>
        <w:t xml:space="preserve">二分求得 </w:t>
      </w:r>
      <w:r>
        <w:rPr>
          <w:i/>
          <w:iCs/>
        </w:rPr>
        <w:t>τ</w:t>
      </w:r>
      <w:r>
        <w:rPr>
          <w:rFonts w:hint="eastAsia"/>
          <w:vertAlign w:val="superscript"/>
          <w:lang w:val="en-US" w:eastAsia="zh-CN"/>
        </w:rPr>
        <w:t xml:space="preserve">* </w:t>
      </w:r>
      <w:r>
        <w:t>= 0.95300293，对应投资 4724.64 百万元。在题设投资和资源上限下， 完整</w:t>
      </w:r>
      <w:r>
        <w:rPr>
          <w:i/>
          <w:iCs/>
          <w:spacing w:val="1"/>
        </w:rPr>
        <w:t>Γ</w:t>
      </w:r>
      <w:r>
        <w:rPr>
          <w:i/>
          <w:iCs/>
          <w:spacing w:val="26"/>
          <w:w w:val="101"/>
        </w:rPr>
        <w:t xml:space="preserve"> </w:t>
      </w:r>
      <w:r>
        <w:t>= 1 没有硬零越限方案。若按“先最小总缺口、再最小投资”求解，</w:t>
      </w:r>
      <w:r>
        <w:rPr>
          <w:i/>
          <w:iCs/>
          <w:spacing w:val="1"/>
        </w:rPr>
        <w:t>Γ</w:t>
      </w:r>
      <w:r>
        <w:rPr>
          <w:spacing w:val="26"/>
          <w:w w:val="101"/>
        </w:rPr>
        <w:t xml:space="preserve"> </w:t>
      </w:r>
      <w:r>
        <w:t>= 1 的不可避免总缺口为 14.848813 kt，其中 2028 年 6.151329 、2029 年 8.697484 kt，其余年份为 0。</w:t>
      </w:r>
    </w:p>
    <w:p w14:paraId="13E8BD3B">
      <w:pPr>
        <w:bidi w:val="0"/>
        <w:rPr>
          <w:rFonts w:hint="eastAsia"/>
          <w:lang w:val="en-US" w:eastAsia="zh-CN"/>
        </w:rPr>
      </w:pPr>
      <w:r>
        <w:t>硬可行性可通过单独放宽一种约束恢复。二分得到的临界包络为</w:t>
      </w:r>
      <w:r>
        <w:rPr>
          <w:rFonts w:hint="eastAsia"/>
          <w:lang w:val="en-US" w:eastAsia="zh-CN"/>
        </w:rPr>
        <w:t>:</w:t>
      </w:r>
    </w:p>
    <w:p w14:paraId="14DE2464">
      <w:pPr>
        <w:spacing w:before="68" w:line="215" w:lineRule="auto"/>
        <w:rPr>
          <w:rFonts w:hint="default" w:hAnsi="Cambria Math"/>
          <w:i w:val="0"/>
          <w:sz w:val="24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qArrPr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Segoe UI Emoji"/>
                      <w:sz w:val="24"/>
                    </w:rPr>
                    <m:t>inv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∈(1.0553207, 1.0553284],  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f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Segoe UI Emoji"/>
                      <w:sz w:val="24"/>
                    </w:rPr>
                    <m:t>res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 Emoji"/>
                  <w:sz w:val="24"/>
                </w:rPr>
                <m:t>∈(1.0449982, 1.0450058],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#</m:t>
              </m:r>
              <m:r>
                <m:rPr>
                  <m:sty m:val="p"/>
                </m:rPr>
                <w:rPr>
                  <w:rFonts w:hint="eastAsia" w:ascii="Cambria Math" w:hAnsi="Cambria Math"/>
                  <w:sz w:val="24"/>
                  <w:lang w:val="en-US" w:eastAsia="zh-CN"/>
                </w:rPr>
                <m:t>公式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(13)</m:t>
              </m:r>
              <m:ctrlPr>
                <w:rPr>
                  <w:rFonts w:hint="default" w:hAnsi="Cambria Math"/>
                  <w:i w:val="0"/>
                  <w:sz w:val="24"/>
                  <w:lang w:val="en-US" w:eastAsia="zh-CN"/>
                </w:rPr>
              </m:ctrlPr>
            </m:e>
          </m:eqArr>
        </m:oMath>
      </m:oMathPara>
    </w:p>
    <w:p w14:paraId="587C910B">
      <w:pPr>
        <w:bidi w:val="0"/>
      </w:pPr>
      <w:r>
        <w:t>即年度投资上限按保守上界需放宽 5.5328%，或将五类施工资源统一放宽 4.5006%。两个上界均经独立完整 Γ 回测确认零越限，各自略低的下界则由求解器证明不可行。若不放宽长期施工约束，则需另行引入绿电购买、需求响应或碳抵消。由于题面未给出这些资源的价格，本文不额外假设其单点成本。</w:t>
      </w:r>
    </w:p>
    <w:p w14:paraId="6C760B80">
      <w:pPr>
        <w:bidi w:val="0"/>
        <w:rPr>
          <w:rFonts w:ascii="宋体" w:hAnsi="宋体" w:eastAsia="宋体" w:cs="宋体"/>
        </w:rPr>
      </w:pPr>
      <w:r>
        <w:t>本文还采用“先求当前场景，再加入所发现的最坏场景后重解”的方式构造软防御，得到两个场景，目标值为 6344.7 百万元。该过程未求解标准两阶段 ARO 的分离子问题，也未维护上下界与收敛 gap。按照严格 C&amp;CG 的定义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_Ref19132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[23]</w:t>
      </w:r>
      <w:r>
        <w:rPr>
          <w:rFonts w:hint="default"/>
          <w:vertAlign w:val="superscript"/>
          <w:lang w:val="en-US"/>
        </w:rPr>
        <w:fldChar w:fldCharType="end"/>
      </w:r>
      <w:r>
        <w:t>，该方法属于可行性场景生成启发式，不能保证得到全局最优的可调鲁棒解。</w:t>
      </w:r>
    </w:p>
    <w:p w14:paraId="442DC6BB">
      <w:pPr>
        <w:pStyle w:val="3"/>
        <w:numPr>
          <w:ilvl w:val="1"/>
          <w:numId w:val="7"/>
        </w:numPr>
        <w:bidi w:val="0"/>
        <w:rPr>
          <w:rFonts w:ascii="宋体" w:hAnsi="宋体" w:eastAsia="宋体" w:cs="宋体"/>
          <w:b/>
          <w:bCs/>
          <w:spacing w:val="-3"/>
          <w:sz w:val="28"/>
          <w:szCs w:val="28"/>
        </w:rPr>
      </w:pPr>
      <w:bookmarkStart w:id="27" w:name="_Toc29849"/>
      <w:r>
        <w:t>四路径非预见最小最大相对遗憾</w:t>
      </w:r>
      <w:bookmarkEnd w:id="27"/>
    </w:p>
    <w:p w14:paraId="461226AF">
      <w:pPr>
        <w:spacing w:before="68" w:line="215" w:lineRule="auto"/>
        <w:ind w:left="0" w:leftChars="0" w:firstLine="500" w:firstLineChars="0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题面未给 S0至S3 赋予概率，因此不能按等概率计算期望。令</w:t>
      </w:r>
      <m:oMath>
        <m:sSubSup>
          <m:sSubSup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∗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up>
        </m:sSubSup>
      </m:oMath>
      <w:r>
        <w:rPr>
          <w:rFonts w:hint="default"/>
          <w:lang w:val="en-US" w:eastAsia="zh-CN"/>
        </w:rPr>
        <w:t>为路径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的完美信息</w:t>
      </w:r>
      <w:r>
        <w:rPr>
          <w:rFonts w:hint="eastAsia"/>
          <w:lang w:val="en-US" w:eastAsia="zh-CN"/>
        </w:rPr>
        <w:t>(</w:t>
      </w:r>
      <w:r>
        <w:t>PI</w:t>
      </w:r>
      <w:r>
        <w:rPr>
          <w:rFonts w:hint="eastAsia"/>
          <w:lang w:val="en-US" w:eastAsia="zh-CN"/>
        </w:rPr>
        <w:t>)</w:t>
      </w:r>
      <w:r>
        <w:t xml:space="preserve">硬碳上限最优目标；令 2026 至 2027 开工 </w:t>
      </w:r>
      <w:r>
        <w:rPr>
          <w:i/>
          <w:iCs/>
        </w:rPr>
        <w:t>x</w:t>
      </w:r>
      <w:r>
        <w:rPr>
          <w:i/>
          <w:iCs/>
          <w:vertAlign w:val="superscript"/>
        </w:rPr>
        <w:t>0</w:t>
      </w:r>
      <w:r>
        <w:t xml:space="preserve"> 对四路径共享，2028 至 2030 在年初识别路径后用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i/>
          <w:iCs/>
          <w:lang w:val="en-US" w:eastAsia="zh-CN"/>
        </w:rPr>
        <w:t>x</w:t>
      </w:r>
      <w:r>
        <w:rPr>
          <w:rFonts w:hint="eastAsia"/>
          <w:i/>
          <w:iCs/>
          <w:vertAlign w:val="superscript"/>
          <w:lang w:val="en-US" w:eastAsia="zh-CN"/>
        </w:rPr>
        <w:t>s</w:t>
      </w:r>
      <w:r>
        <w:t xml:space="preserve">  追索。采用混合整数追索的最小最大相对遗憾思想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_Ref19174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[21</w:t>
      </w:r>
      <w:r>
        <w:rPr>
          <w:vanish/>
          <w:vertAlign w:val="superscript"/>
        </w:rPr>
        <w:t>]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_Ref11448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-</w:t>
      </w:r>
      <w:r>
        <w:rPr>
          <w:rFonts w:hint="default"/>
          <w:vertAlign w:val="superscript"/>
          <w:lang w:val="en-US"/>
        </w:rPr>
        <w:t>22]</w:t>
      </w:r>
      <w:r>
        <w:rPr>
          <w:rFonts w:hint="default"/>
          <w:vertAlign w:val="superscript"/>
          <w:lang w:val="en-US"/>
        </w:rPr>
        <w:fldChar w:fldCharType="end"/>
      </w:r>
      <w:r>
        <w:t>：</w:t>
      </w:r>
    </w:p>
    <w:p w14:paraId="27550769">
      <w:pPr>
        <w:bidi w:val="0"/>
        <w:ind w:left="0" w:leftChars="0" w:firstLine="0" w:firstLineChars="0"/>
        <w:rPr>
          <w:rFonts w:ascii="宋体" w:hAnsi="宋体" w:eastAsia="宋体" w:cs="宋体"/>
          <w:spacing w:val="-3"/>
        </w:rPr>
      </w:pPr>
      <m:oMath>
        <m:eqArr>
          <m:eqArrPr>
            <m:maxDist m:val="1"/>
            <m:ctrlPr>
              <w:rPr>
                <w:rFonts w:hint="default" w:hAnsi="Cambria Math"/>
                <w:i w:val="0"/>
                <w:sz w:val="24"/>
                <w:lang w:val="en-US" w:eastAsia="zh-CN"/>
              </w:rPr>
            </m:ctrlPr>
          </m:eqArrPr>
          <m:e>
            <m:func>
              <m:funcP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  <w:lang w:val="en-US" w:eastAsia="zh-CN"/>
                  </w:rPr>
                  <m:t>min</m:t>
                </m: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</m:func>
            <m:r>
              <m:rPr/>
              <w:rPr>
                <w:rFonts w:hint="default" w:ascii="Cambria Math" w:hAnsi="Cambria Math" w:eastAsia="Segoe UI Emoji"/>
                <w:sz w:val="24"/>
              </w:rPr>
              <m:t>, </m:t>
            </m:r>
            <m:f>
              <m:fP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,</m:t>
                </m:r>
                <m:sSup>
                  <m:sSup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)−</m:t>
                </m:r>
                <m:sSubSup>
                  <m:sSubSup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∗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num>
              <m:den>
                <m:sSubSup>
                  <m:sSubSup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∗</m:t>
                    </m:r>
                    <m:ctrlPr>
                      <w:rPr>
                        <w:rFonts w:ascii="Cambria Math" w:hAnsi="Cambria Math" w:eastAsia="Segoe UI Emoji"/>
                        <w:sz w:val="24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den>
            </m:f>
            <m:r>
              <m:rPr/>
              <w:rPr>
                <w:rFonts w:hint="default" w:ascii="Cambria Math" w:hAnsi="Cambria Math" w:eastAsia="Segoe UI Emoji"/>
                <w:sz w:val="24"/>
              </w:rPr>
              <m:t>≤R, s∈{S0,S1,S2,S3},</m:t>
            </m:r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#</m:t>
            </m:r>
            <m:r>
              <m:rPr>
                <m:sty m:val="p"/>
              </m:rPr>
              <w:rPr>
                <w:rFonts w:hint="eastAsia" w:ascii="Cambria Math" w:hAnsi="Cambria Math"/>
                <w:sz w:val="24"/>
                <w:lang w:val="en-US" w:eastAsia="zh-CN"/>
              </w:rPr>
              <m:t>公式</m:t>
            </m:r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(14)</m:t>
            </m:r>
            <m:ctrlPr>
              <w:rPr>
                <w:rFonts w:hint="default" w:hAnsi="Cambria Math"/>
                <w:i w:val="0"/>
                <w:sz w:val="24"/>
                <w:lang w:val="en-US" w:eastAsia="zh-CN"/>
              </w:rPr>
            </m:ctrlPr>
          </m:e>
        </m:eqArr>
      </m:oMath>
      <w:r>
        <w:rPr>
          <w:rFonts w:hint="eastAsia" w:hAnsi="Cambria Math"/>
          <w:i w:val="0"/>
          <w:sz w:val="24"/>
          <w:lang w:val="en-US" w:eastAsia="zh-CN"/>
        </w:rPr>
        <w:tab/>
      </w:r>
      <w:r>
        <w:rPr>
          <w:rFonts w:ascii="宋体" w:hAnsi="宋体" w:eastAsia="宋体" w:cs="宋体"/>
          <w:spacing w:val="-1"/>
        </w:rPr>
        <w:t>并对四条路径分别施加硬碳上限。模型包含</w:t>
      </w:r>
      <w:r>
        <w:rPr>
          <w:rFonts w:ascii="宋体" w:hAnsi="宋体" w:eastAsia="宋体" w:cs="宋体"/>
          <w:spacing w:val="-55"/>
        </w:rPr>
        <w:t xml:space="preserve"> </w:t>
      </w:r>
      <w:r>
        <w:rPr>
          <w:spacing w:val="-1"/>
        </w:rPr>
        <w:t xml:space="preserve">2471 </w:t>
      </w:r>
      <w:r>
        <w:rPr>
          <w:rFonts w:ascii="宋体" w:hAnsi="宋体" w:eastAsia="宋体" w:cs="宋体"/>
          <w:spacing w:val="-1"/>
        </w:rPr>
        <w:t>个变量、</w:t>
      </w:r>
      <w:r>
        <w:rPr>
          <w:spacing w:val="-2"/>
        </w:rPr>
        <w:t xml:space="preserve">146 </w:t>
      </w:r>
      <w:r>
        <w:rPr>
          <w:rFonts w:ascii="宋体" w:hAnsi="宋体" w:eastAsia="宋体" w:cs="宋体"/>
          <w:spacing w:val="-2"/>
        </w:rPr>
        <w:t>个二元变量和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spacing w:val="-2"/>
        </w:rPr>
        <w:t xml:space="preserve">3389 </w:t>
      </w:r>
      <w:r>
        <w:rPr>
          <w:rFonts w:ascii="宋体" w:hAnsi="宋体" w:eastAsia="宋体" w:cs="宋体"/>
          <w:spacing w:val="-2"/>
        </w:rPr>
        <w:t>条约</w:t>
      </w:r>
      <w:bookmarkStart w:id="28" w:name="bookmark41"/>
      <w:bookmarkEnd w:id="28"/>
      <w:r>
        <w:rPr>
          <w:rFonts w:ascii="宋体" w:hAnsi="宋体" w:eastAsia="宋体" w:cs="宋体"/>
          <w:spacing w:val="-3"/>
        </w:rPr>
        <w:t>束，可由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3"/>
        </w:rPr>
        <w:t xml:space="preserve">HiGHS </w:t>
      </w:r>
      <w:r>
        <w:rPr>
          <w:rFonts w:ascii="宋体" w:hAnsi="宋体" w:eastAsia="宋体" w:cs="宋体"/>
          <w:spacing w:val="-3"/>
        </w:rPr>
        <w:t>直接求解。</w:t>
      </w:r>
    </w:p>
    <w:p w14:paraId="2F0584E4">
      <w:pPr>
        <w:pStyle w:val="5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四条典型路径的完美信息基准与非预见最小最大遗憾解</w:t>
      </w:r>
    </w:p>
    <w:tbl>
      <w:tblPr>
        <w:tblStyle w:val="12"/>
        <w:tblW w:w="0" w:type="auto"/>
        <w:tblInd w:w="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1541"/>
        <w:gridCol w:w="1541"/>
        <w:gridCol w:w="1541"/>
        <w:gridCol w:w="1618"/>
      </w:tblGrid>
      <w:tr w14:paraId="2F203A8B">
        <w:tc>
          <w:tcPr>
            <w:tcW w:w="9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78F4A7D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路径</w:t>
            </w:r>
          </w:p>
        </w:tc>
        <w:tc>
          <w:tcPr>
            <w:tcW w:w="154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7FB1FC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PI 目标</w:t>
            </w:r>
          </w:p>
        </w:tc>
        <w:tc>
          <w:tcPr>
            <w:tcW w:w="154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3086847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非预见目标</w:t>
            </w:r>
          </w:p>
        </w:tc>
        <w:tc>
          <w:tcPr>
            <w:tcW w:w="154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4712096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非预见投资</w:t>
            </w:r>
          </w:p>
        </w:tc>
        <w:tc>
          <w:tcPr>
            <w:tcW w:w="161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center"/>
          </w:tcPr>
          <w:p w14:paraId="66ADD55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相对遗憾</w:t>
            </w:r>
          </w:p>
        </w:tc>
      </w:tr>
      <w:tr w14:paraId="70E74DAF">
        <w:tc>
          <w:tcPr>
            <w:tcW w:w="921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0D7D60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S0</w:t>
            </w:r>
          </w:p>
        </w:tc>
        <w:tc>
          <w:tcPr>
            <w:tcW w:w="1541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5399AD89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1912.873</w:t>
            </w:r>
          </w:p>
        </w:tc>
        <w:tc>
          <w:tcPr>
            <w:tcW w:w="1541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169C4C93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2933.102</w:t>
            </w:r>
          </w:p>
        </w:tc>
        <w:tc>
          <w:tcPr>
            <w:tcW w:w="1541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392F0364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2094.466</w:t>
            </w:r>
          </w:p>
        </w:tc>
        <w:tc>
          <w:tcPr>
            <w:tcW w:w="1618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03BC8876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53.335%</w:t>
            </w:r>
          </w:p>
        </w:tc>
      </w:tr>
      <w:tr w14:paraId="6E034CCF"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1EB2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S1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4D9E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1214.056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C10F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2933.102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75C3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2094.466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0AC2D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141.595%</w:t>
            </w:r>
          </w:p>
        </w:tc>
      </w:tr>
      <w:tr w14:paraId="78987519"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1F36E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S2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0106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3782.083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9E1C0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3820.201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CBFE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3020.995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D75BF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1.008%</w:t>
            </w:r>
          </w:p>
        </w:tc>
      </w:tr>
      <w:tr w14:paraId="0D37CFD1">
        <w:tc>
          <w:tcPr>
            <w:tcW w:w="9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E5BC67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S3</w:t>
            </w:r>
          </w:p>
        </w:tc>
        <w:tc>
          <w:tcPr>
            <w:tcW w:w="15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D06B8B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5239.442</w:t>
            </w:r>
          </w:p>
        </w:tc>
        <w:tc>
          <w:tcPr>
            <w:tcW w:w="15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302CDAA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5258.148</w:t>
            </w:r>
          </w:p>
        </w:tc>
        <w:tc>
          <w:tcPr>
            <w:tcW w:w="154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3E88C2C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4490.793</w:t>
            </w:r>
          </w:p>
        </w:tc>
        <w:tc>
          <w:tcPr>
            <w:tcW w:w="161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B4A44E2">
            <w:pPr>
              <w:bidi w:val="0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t>0.357%</w:t>
            </w:r>
          </w:p>
        </w:tc>
      </w:tr>
    </w:tbl>
    <w:p w14:paraId="105DA707">
      <w:pPr>
        <w:bidi w:val="0"/>
        <w:ind w:left="0" w:leftChars="0" w:firstLine="0" w:firstLineChars="0"/>
        <w:jc w:val="center"/>
        <w:rPr>
          <w:rFonts w:hint="default" w:ascii="宋体" w:hAnsi="宋体" w:eastAsia="宋体" w:cs="宋体"/>
          <w:spacing w:val="-3"/>
          <w:lang w:val="en-US" w:eastAsia="zh-CN"/>
        </w:rPr>
      </w:pPr>
      <w:r>
        <w:rPr>
          <w:rFonts w:hint="default" w:ascii="宋体" w:hAnsi="宋体" w:eastAsia="宋体" w:cs="宋体"/>
          <w:spacing w:val="-3"/>
          <w:lang w:val="en-US" w:eastAsia="zh-CN"/>
        </w:rPr>
        <w:drawing>
          <wp:inline distT="0" distB="0" distL="114300" distR="114300">
            <wp:extent cx="4428490" cy="3488055"/>
            <wp:effectExtent l="0" t="0" r="6350" b="1905"/>
            <wp:docPr id="33" name="图片 33" descr="fig_q4_reg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fig_q4_regret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25BE">
      <w:pPr>
        <w:pStyle w:val="5"/>
        <w:bidi w:val="0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四路径完美信息与非预见方案的哑铃图</w:t>
      </w:r>
    </w:p>
    <w:p w14:paraId="4BC03FD4">
      <w:pPr>
        <w:bidi w:val="0"/>
      </w:pPr>
      <w:r>
        <w:rPr>
          <w:rFonts w:hint="eastAsia"/>
          <w:lang w:val="en-US" w:eastAsia="zh-CN"/>
        </w:rPr>
        <w:t>图17中</w:t>
      </w:r>
      <w:r>
        <w:t>茎长即绝对遗憾；S1 的 PI 基数最小，早期共同防御使其相对遗憾最高。</w:t>
      </w:r>
    </w:p>
    <w:p w14:paraId="0563A317">
      <w:pPr>
        <w:bidi w:val="0"/>
      </w:pPr>
      <w:r>
        <w:t>共享一阶段投资为 2094.466 百万元，四条路径均实现硬零越限。S1 的 PI 目标最小，因此相对遗憾最高。表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t>7</w:t>
      </w:r>
      <w:r>
        <w:fldChar w:fldCharType="end"/>
      </w:r>
      <w:r>
        <w:t>同时列出绝对目标，以避免仅依据百分比作出偏差判断。</w:t>
      </w:r>
    </w:p>
    <w:p w14:paraId="2006C996">
      <w:pPr>
        <w:pStyle w:val="3"/>
        <w:numPr>
          <w:ilvl w:val="1"/>
          <w:numId w:val="7"/>
        </w:numPr>
        <w:bidi w:val="0"/>
        <w:ind w:left="567" w:leftChars="0" w:hanging="567" w:firstLineChars="0"/>
      </w:pPr>
      <w:bookmarkStart w:id="29" w:name="_Toc6538"/>
      <w:r>
        <w:t>滚动 objective-to-go 的比较口径</w:t>
      </w:r>
      <w:bookmarkEnd w:id="29"/>
    </w:p>
    <w:p w14:paraId="337F2F1B">
      <w:pPr>
        <w:bidi w:val="0"/>
      </w:pPr>
      <w:r>
        <w:t>沿 S3 路径，在每年年初用已观测因子重解、对未观测年份保留 Γ 软防御</w:t>
      </w:r>
      <w:r>
        <w:rPr>
          <w:vertAlign w:val="superscript"/>
        </w:rPr>
        <w:fldChar w:fldCharType="begin"/>
      </w:r>
      <w:r>
        <w:instrText xml:space="preserve"> REF _Ref19236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[24]</w:t>
      </w:r>
      <w:r>
        <w:rPr>
          <w:vertAlign w:val="superscript"/>
        </w:rPr>
        <w:fldChar w:fldCharType="end"/>
      </w:r>
      <w:r>
        <w:t>。信息比较固定同一决策时点与同一已承诺状态，只比较“使用/不使用本年观测”的剩余期目标，结果见表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t>8</w:t>
      </w:r>
      <w:r>
        <w:fldChar w:fldCharType="end"/>
      </w:r>
      <w:r>
        <w:t>。</w:t>
      </w:r>
    </w:p>
    <w:p w14:paraId="0C986330">
      <w:pPr>
        <w:bidi w:val="0"/>
      </w:pPr>
      <w:r>
        <w:t>目标改善中包含避免的软违约罚，因此不能将 307.566 或 434.874 百万元解释为等额投资节省；跨年份比较包含沉没成本的全周期目标也不具可比性。S3 滚动最终投资仍为 4834.5 百万元，并在该路径上实现零越限，但这不构成对完整 Γ 集的硬保证。</w:t>
      </w:r>
    </w:p>
    <w:p w14:paraId="5C660715">
      <w:pPr>
        <w:pStyle w:val="5"/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S3 滚动中同状态 objective-to-go 的信息改善（百万元）</w:t>
      </w:r>
    </w:p>
    <w:tbl>
      <w:tblPr>
        <w:tblStyle w:val="14"/>
        <w:tblW w:w="7089" w:type="dxa"/>
        <w:tblInd w:w="9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1682"/>
        <w:gridCol w:w="1935"/>
        <w:gridCol w:w="1832"/>
      </w:tblGrid>
      <w:tr w14:paraId="40207D64">
        <w:trPr>
          <w:trHeight w:val="90" w:hRule="atLeast"/>
        </w:trPr>
        <w:tc>
          <w:tcPr>
            <w:tcW w:w="1640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2724F4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决策年</w:t>
            </w:r>
          </w:p>
        </w:tc>
        <w:tc>
          <w:tcPr>
            <w:tcW w:w="1682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12811C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使用本年观测</w:t>
            </w:r>
          </w:p>
        </w:tc>
        <w:tc>
          <w:tcPr>
            <w:tcW w:w="1935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79104BE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不使用本年观测</w:t>
            </w:r>
          </w:p>
        </w:tc>
        <w:tc>
          <w:tcPr>
            <w:tcW w:w="1832" w:type="dxa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401450D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目标改善</w:t>
            </w:r>
          </w:p>
        </w:tc>
      </w:tr>
      <w:tr w14:paraId="6D3F41EB">
        <w:trPr>
          <w:trHeight w:val="323" w:hRule="atLeast"/>
        </w:trPr>
        <w:tc>
          <w:tcPr>
            <w:tcW w:w="1640" w:type="dxa"/>
            <w:tcBorders>
              <w:top w:val="single" w:color="000000" w:sz="6" w:space="0"/>
              <w:bottom w:val="nil"/>
            </w:tcBorders>
            <w:vAlign w:val="center"/>
          </w:tcPr>
          <w:p w14:paraId="26DB0F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2028</w:t>
            </w:r>
          </w:p>
        </w:tc>
        <w:tc>
          <w:tcPr>
            <w:tcW w:w="1682" w:type="dxa"/>
            <w:tcBorders>
              <w:top w:val="single" w:color="000000" w:sz="6" w:space="0"/>
              <w:bottom w:val="nil"/>
            </w:tcBorders>
            <w:vAlign w:val="center"/>
          </w:tcPr>
          <w:p w14:paraId="30151F5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3307.766</w:t>
            </w:r>
          </w:p>
        </w:tc>
        <w:tc>
          <w:tcPr>
            <w:tcW w:w="1935" w:type="dxa"/>
            <w:tcBorders>
              <w:top w:val="single" w:color="000000" w:sz="6" w:space="0"/>
              <w:bottom w:val="nil"/>
            </w:tcBorders>
            <w:vAlign w:val="center"/>
          </w:tcPr>
          <w:p w14:paraId="56C397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3615.333</w:t>
            </w:r>
          </w:p>
        </w:tc>
        <w:tc>
          <w:tcPr>
            <w:tcW w:w="1832" w:type="dxa"/>
            <w:tcBorders>
              <w:top w:val="single" w:color="000000" w:sz="6" w:space="0"/>
              <w:bottom w:val="nil"/>
            </w:tcBorders>
            <w:vAlign w:val="center"/>
          </w:tcPr>
          <w:p w14:paraId="20FC6D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307.566</w:t>
            </w:r>
          </w:p>
        </w:tc>
      </w:tr>
      <w:tr w14:paraId="37328DD3">
        <w:trPr>
          <w:trHeight w:val="286" w:hRule="atLeast"/>
        </w:trPr>
        <w:tc>
          <w:tcPr>
            <w:tcW w:w="1640" w:type="dxa"/>
            <w:tcBorders>
              <w:top w:val="nil"/>
              <w:bottom w:val="nil"/>
            </w:tcBorders>
            <w:vAlign w:val="center"/>
          </w:tcPr>
          <w:p w14:paraId="20D2A6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2029</w:t>
            </w:r>
          </w:p>
        </w:tc>
        <w:tc>
          <w:tcPr>
            <w:tcW w:w="1682" w:type="dxa"/>
            <w:tcBorders>
              <w:top w:val="nil"/>
              <w:bottom w:val="nil"/>
            </w:tcBorders>
            <w:vAlign w:val="center"/>
          </w:tcPr>
          <w:p w14:paraId="2A62A6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1445.621</w:t>
            </w:r>
          </w:p>
        </w:tc>
        <w:tc>
          <w:tcPr>
            <w:tcW w:w="1935" w:type="dxa"/>
            <w:tcBorders>
              <w:top w:val="nil"/>
              <w:bottom w:val="nil"/>
            </w:tcBorders>
            <w:vAlign w:val="center"/>
          </w:tcPr>
          <w:p w14:paraId="24818A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1880.495</w:t>
            </w:r>
          </w:p>
        </w:tc>
        <w:tc>
          <w:tcPr>
            <w:tcW w:w="1832" w:type="dxa"/>
            <w:tcBorders>
              <w:top w:val="nil"/>
              <w:bottom w:val="nil"/>
            </w:tcBorders>
            <w:vAlign w:val="center"/>
          </w:tcPr>
          <w:p w14:paraId="4E88520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434.874</w:t>
            </w:r>
          </w:p>
        </w:tc>
      </w:tr>
      <w:tr w14:paraId="7E63E99C">
        <w:trPr>
          <w:trHeight w:val="368" w:hRule="atLeast"/>
        </w:trPr>
        <w:tc>
          <w:tcPr>
            <w:tcW w:w="1640" w:type="dxa"/>
            <w:tcBorders>
              <w:top w:val="nil"/>
              <w:bottom w:val="single" w:color="000000" w:sz="12" w:space="0"/>
            </w:tcBorders>
            <w:vAlign w:val="center"/>
          </w:tcPr>
          <w:p w14:paraId="75C536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2030</w:t>
            </w:r>
          </w:p>
        </w:tc>
        <w:tc>
          <w:tcPr>
            <w:tcW w:w="1682" w:type="dxa"/>
            <w:tcBorders>
              <w:top w:val="nil"/>
              <w:bottom w:val="single" w:color="000000" w:sz="12" w:space="0"/>
            </w:tcBorders>
            <w:vAlign w:val="center"/>
          </w:tcPr>
          <w:p w14:paraId="7F20F5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191.775</w:t>
            </w:r>
          </w:p>
        </w:tc>
        <w:tc>
          <w:tcPr>
            <w:tcW w:w="1935" w:type="dxa"/>
            <w:tcBorders>
              <w:top w:val="nil"/>
              <w:bottom w:val="single" w:color="000000" w:sz="12" w:space="0"/>
            </w:tcBorders>
            <w:vAlign w:val="center"/>
          </w:tcPr>
          <w:p w14:paraId="379366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191.775</w:t>
            </w:r>
          </w:p>
        </w:tc>
        <w:tc>
          <w:tcPr>
            <w:tcW w:w="1832" w:type="dxa"/>
            <w:tcBorders>
              <w:top w:val="nil"/>
              <w:bottom w:val="single" w:color="000000" w:sz="12" w:space="0"/>
            </w:tcBorders>
            <w:vAlign w:val="center"/>
          </w:tcPr>
          <w:p w14:paraId="29E3CD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0" w:firstLineChars="0"/>
              <w:jc w:val="center"/>
              <w:textAlignment w:val="baseline"/>
            </w:pPr>
            <w:r>
              <w:t>0</w:t>
            </w:r>
          </w:p>
        </w:tc>
      </w:tr>
    </w:tbl>
    <w:p w14:paraId="38BA0FB2">
      <w:pPr>
        <w:bidi w:val="0"/>
        <w:rPr>
          <w:rFonts w:hint="eastAsia"/>
          <w:lang w:val="en-US" w:eastAsia="zh-CN"/>
        </w:rPr>
      </w:pPr>
      <w:r>
        <w:t xml:space="preserve">动模型保留了观测后的追索接口。完整压力下的底线仍由 </w:t>
      </w:r>
      <w:r>
        <w:rPr>
          <w:i/>
          <w:iCs/>
        </w:rPr>
        <w:t>τ</w:t>
      </w:r>
      <w:r>
        <w:rPr>
          <w:vertAlign w:val="superscript"/>
        </w:rPr>
        <w:t>*</w:t>
      </w:r>
      <w:r>
        <w:t>、14.8488 kt 最小缺口和上述资源恢复边界共同确定。</w:t>
      </w:r>
    </w:p>
    <w:p w14:paraId="7342ACAD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30" w:name="_Toc32108"/>
      <w:r>
        <w:t>问题五：决策咨询报告</w:t>
      </w:r>
      <w:bookmarkEnd w:id="30"/>
    </w:p>
    <w:p w14:paraId="53C5235B">
      <w:pPr>
        <w:bidi w:val="0"/>
      </w:pPr>
      <w:r>
        <w:t>关于“十五五”电力低碳转型的决策建议</w:t>
      </w:r>
    </w:p>
    <w:p w14:paraId="1550BB1E">
      <w:pPr>
        <w:bidi w:val="0"/>
      </w:pPr>
      <w:r>
        <w:t>（呈省级能源主管部门）</w:t>
      </w:r>
    </w:p>
    <w:p w14:paraId="7297F150">
      <w:pPr>
        <w:bidi w:val="0"/>
      </w:pPr>
      <w:r>
        <w:t>对 2025 年多源监测数据的守恒校验得到 23 项诊断标记，包括月度与年度系统最大 8.7% 的口径差、E10 年度“受端大于送端”、E03 单月隐含线损 17.5% 以及 4 处缺失。采用单次凸 Huber 调和后，最大能量平衡残差为</w:t>
      </w:r>
      <w:r>
        <w:rPr>
          <w:rFonts w:hint="eastAsia"/>
          <w:lang w:eastAsia="zh-CN"/>
        </w:rPr>
        <w:t>4.09</w:t>
      </w:r>
      <w:r>
        <w:t xml:space="preserve"> × 10</w:t>
      </w:r>
      <w:r>
        <w:rPr>
          <w:rFonts w:hint="eastAsia"/>
          <w:vertAlign w:val="superscript"/>
          <w:lang w:val="en-US" w:eastAsia="zh-CN"/>
        </w:rPr>
        <w:t>-</w:t>
      </w:r>
      <w:r>
        <w:rPr>
          <w:vertAlign w:val="superscript"/>
        </w:rPr>
        <w:t>13</w:t>
      </w:r>
      <w:r>
        <w:t xml:space="preserve"> GWh；E05 年度线损为 0.01675（工程值 0.020），E07 因全年无有效流量只能保留工程值 0.027。最值得复核的依次是 E10 年度送、受端汇总和 A4 八月省外输入。建议把关口月表与年度汇总统一编码，并对 E10 设置自动对账告警。</w:t>
      </w:r>
    </w:p>
    <w:p w14:paraId="059E2D57">
      <w:pPr>
        <w:bidi w:val="0"/>
      </w:pPr>
      <w:r>
        <w:t>A4 、A5 年均终端碳强度分别为 0.62399 和 0. 15217 kgCO2/kWh 。A3 消费责任为 5435.60 kt，是扩展生产责任的 5.35 倍，主碳流 A4→ A3 为 4366.34 kt 。500 次完整量测自举给出该主碳流 95% 条件区间 [4356.76, 4419.04] kt，所有样本均保持 A4 最高、A5 最低的排序。区域考核宜同时公开生产侧与消费侧两套口径。五五共担可作为协商起点，但其与当前 Shapley 值一致是结构恒等式，数据并未给出唯一的公平权重。</w:t>
      </w:r>
    </w:p>
    <w:p w14:paraId="3F682EE6">
      <w:pPr>
        <w:bidi w:val="0"/>
      </w:pPr>
      <w:r>
        <w:t xml:space="preserve">项目方案根据 </w:t>
      </w:r>
      <w:r>
        <w:rPr>
          <w:b/>
          <w:bCs/>
          <w:i/>
          <w:iCs/>
        </w:rPr>
        <w:t>ε</w:t>
      </w:r>
      <w:r>
        <w:t xml:space="preserve">-前沿选择。零缺供最低投资为 964.970 百万元；推荐 </w:t>
      </w:r>
      <w:r>
        <w:rPr>
          <w:b/>
          <w:bCs/>
          <w:i/>
          <w:iCs/>
        </w:rPr>
        <w:t>ε</w:t>
      </w:r>
      <w:r>
        <w:t xml:space="preserve"> = 1%，投资974.603 百万元，较最低投资增加 0.998%，加权基线的最大区域相对超额则从 8.281%降至 7.611%。六个入选项目为 P12、P15、P16、P19、P23、P31，主要投向分布式光伏和交通电气化。2030 年有限差分影子价格 3.1616 百万元/kt 只是当前项目库和一次性投资口径下的局部规划信号，不宜直接作为市场碳价。量测误差传播显示， 固定推荐计划在 2028 至 2030 年的条件触限概率分别为 32.0%、35.8%、35.8%。尽管点估计仍在上限以内，2028 年后的触限概率已超过 30%，因此需要按年重估。</w:t>
      </w:r>
    </w:p>
    <w:p w14:paraId="70008927">
      <w:pPr>
        <w:bidi w:val="0"/>
      </w:pPr>
      <w:r>
        <w:t>若省外来电沿高碳路径 S3 变化，加权基线到 2030 年将超出上限 454.5 kt。完整</w:t>
      </w:r>
      <w:r>
        <w:rPr>
          <w:rFonts w:hint="eastAsia"/>
          <w:lang w:val="en-US" w:eastAsia="zh-CN"/>
        </w:rPr>
        <w:t xml:space="preserve"> </w:t>
      </w:r>
      <w:r>
        <w:rPr>
          <w:i/>
          <w:iCs/>
        </w:rPr>
        <w:t>Γ</w:t>
      </w:r>
      <w:r>
        <w:t xml:space="preserve"> = 1 在现有投资和施工资源上限下不存在硬零越限方案。软防御投资达到 4834.5 百万元后，仍有 14.8488 kt 的最小缺口，硬可行半径为 </w:t>
      </w:r>
      <w:r>
        <w:rPr>
          <w:i/>
          <w:iCs/>
        </w:rPr>
        <w:t>τ</w:t>
      </w:r>
      <w:r>
        <w:rPr>
          <w:rFonts w:hint="eastAsia"/>
          <w:i/>
          <w:iCs/>
          <w:vertAlign w:val="superscript"/>
          <w:lang w:val="en-US" w:eastAsia="zh-CN"/>
        </w:rPr>
        <w:t>*</w:t>
      </w:r>
      <w:r>
        <w:t xml:space="preserve"> = 0.953003。若监管要求覆盖完整 </w:t>
      </w:r>
      <w:r>
        <w:rPr>
          <w:i/>
          <w:iCs/>
        </w:rPr>
        <w:t>Γ</w:t>
      </w:r>
      <w:r>
        <w:t>, 可将年度投资上限至少放宽至 1.0553284 倍，或将五类施工资源统一放宽至1.0450058 倍。若两类约束均不放宽，则需配置绿电购买、需求响应等应急资源，并纳入真实报价后重新优化。</w:t>
      </w:r>
    </w:p>
    <w:p w14:paraId="6D45B950">
      <w:pPr>
        <w:bidi w:val="0"/>
      </w:pPr>
      <w:r>
        <w:t>执行阶段应先依据完整</w:t>
      </w:r>
      <w:r>
        <w:rPr>
          <w:i/>
          <w:iCs/>
        </w:rPr>
        <w:t xml:space="preserve"> Γ</w:t>
      </w:r>
      <w:r>
        <w:t xml:space="preserve"> 的恢复边界配置资源。S0 至 S3 的非预见方案用于安排2026 年和 2027 年开工项目，此后按年滚动。四路径最小最大遗憾方案的前两年共享投资为 2094.466 百万元，四条路径均满足硬约束。最大相对遗憾 141.595% 来自低成本S1 路径上的早期防御机会成本。S3 滚动使 2028 、2029 年同状态剩余期目标分别改善307.566、434.874 百万元，其中包含避免的违约罚，不能解释为等额投资节省。建议每年三季度更新送端因子区间和来源份额，次年年初根据已确认状态调整未开工项目，并以完整</w:t>
      </w:r>
      <w:r>
        <w:rPr>
          <w:i/>
          <w:iCs/>
        </w:rPr>
        <w:t xml:space="preserve"> Γ</w:t>
      </w:r>
      <w:r>
        <w:t xml:space="preserve"> 恢复边界复核应急资源是否充足。</w:t>
      </w:r>
    </w:p>
    <w:p w14:paraId="206B51C7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31" w:name="_Toc32731"/>
      <w:r>
        <w:t>模型评价、局限性与结论</w:t>
      </w:r>
      <w:bookmarkEnd w:id="31"/>
    </w:p>
    <w:p w14:paraId="58D12832">
      <w:pPr>
        <w:bidi w:val="0"/>
      </w:pPr>
      <w:r>
        <w:t xml:space="preserve">各环节均进行了独立回代与对照检验。问题一比较了 Huber 与 WLS 在污染数据下的表现；问题二的 500 个自举样本均重新执行上游调和；问题三的五个 </w:t>
      </w:r>
      <w:r>
        <w:rPr>
          <w:b/>
          <w:bCs/>
          <w:i/>
          <w:iCs/>
        </w:rPr>
        <w:t>ε</w:t>
      </w:r>
      <w:r>
        <w:t xml:space="preserve"> 点均单独校验约束。问题四分别报告设计集与统一集、软约束与硬约束、完美信息目标与非预见目标，避免混用评价口径。</w:t>
      </w:r>
    </w:p>
    <w:p w14:paraId="746DD88C">
      <w:pPr>
        <w:bidi w:val="0"/>
      </w:pPr>
      <w:r>
        <w:t>问题二给出的区间以独立正态量测误差、固定排放因子和固定网络为条件， 未包含相关误差、模型错设和未来结构，因此不构成无条件置信保证。</w:t>
      </w:r>
      <w:r>
        <w:rPr>
          <w:i/>
          <w:iCs/>
        </w:rPr>
        <w:t>S</w:t>
      </w:r>
      <w:r>
        <w:rPr>
          <w:b/>
          <w:bCs/>
          <w:i/>
          <w:iCs/>
          <w:vertAlign w:val="subscript"/>
        </w:rPr>
        <w:t>ij</w:t>
      </w:r>
      <w:r>
        <w:t xml:space="preserve">  被固定至 2030 年，而忽略转供以及将份额向 A4 集中 20% 的敏感性结果表明，枢纽份额漂移仍需按年重算。题面官方规划式采用平均碳强度， 而非边际排放，且未提供电抗、机组成本和启停参数，因此本模型不属于 Carbon-Aware OPF，通道升级的碳价值也可能被低估。</w:t>
      </w:r>
      <w:r>
        <w:rPr>
          <w:i/>
          <w:iCs/>
        </w:rPr>
        <w:t>λ</w:t>
      </w:r>
      <w:r>
        <w:t xml:space="preserve"> = 0.5与 Shapley 一致源于特征函数结构，无法回答政策公平权重是否唯一。S0 至 S3 没有给定概率，最小最大遗憾结果会受到典型路径集合的影响；完整 </w:t>
      </w:r>
      <w:r>
        <w:rPr>
          <w:i/>
          <w:iCs/>
        </w:rPr>
        <w:t xml:space="preserve">Γ </w:t>
      </w:r>
      <w:r>
        <w:t>也只是压力集合，并非概率分布。题面还缺少应急资源和碳抵消价格， 本文仅给出恢复硬可行性所需的资源边界，不估计最优采购成本。</w:t>
      </w:r>
    </w:p>
    <w:p w14:paraId="5BC462A5">
      <w:pPr>
        <w:bidi w:val="0"/>
        <w:rPr>
          <w:rFonts w:ascii="宋体" w:hAnsi="宋体" w:eastAsia="宋体" w:cs="宋体"/>
        </w:rPr>
      </w:pPr>
      <w:r>
        <w:t xml:space="preserve">电量经稳健守恒调和后进入碳流核算，碳责任结果同时报告条件区间。五五共担可作为协商起点，但不是唯一公平解。基准规划推荐投资 974.603 百万元的 </w:t>
      </w:r>
      <w:r>
        <w:rPr>
          <w:i/>
          <w:iCs/>
        </w:rPr>
        <w:t>ε</w:t>
      </w:r>
      <w:r>
        <w:t xml:space="preserve"> = 1% 方案，并根据量测触限概率预留动态裕度。现有资源无法覆盖完整送端压力，执行时应以 </w:t>
      </w:r>
      <w:r>
        <w:rPr>
          <w:i/>
          <w:iCs/>
        </w:rPr>
        <w:t>τ</w:t>
      </w:r>
      <w:r>
        <w:rPr>
          <w:rFonts w:hint="eastAsia"/>
          <w:vertAlign w:val="superscript"/>
          <w:lang w:val="en-US" w:eastAsia="zh-CN"/>
        </w:rPr>
        <w:t>*</w:t>
      </w:r>
      <w:r>
        <w:t>和恢复边界为约束底线，再结合非预见路径方案逐年更新剩余期目标。</w:t>
      </w:r>
    </w:p>
    <w:p w14:paraId="4E5B4B23">
      <w:pPr>
        <w:bidi w:val="0"/>
      </w:pPr>
    </w:p>
    <w:p w14:paraId="476E2806">
      <w:pPr>
        <w:pStyle w:val="2"/>
        <w:keepNext/>
        <w:keepLines/>
        <w:pageBreakBefore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bookmark4"/>
      <w:bookmarkEnd w:id="32"/>
      <w:bookmarkStart w:id="33" w:name="bookmark2"/>
      <w:bookmarkEnd w:id="33"/>
      <w:bookmarkStart w:id="34" w:name="bookmark3"/>
      <w:bookmarkEnd w:id="34"/>
      <w:bookmarkStart w:id="35" w:name="_Toc15296"/>
      <w:r>
        <w:t>参考文献</w:t>
      </w:r>
      <w:bookmarkEnd w:id="35"/>
    </w:p>
    <w:p w14:paraId="6ED36CD8"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3" w:line="240" w:lineRule="auto"/>
        <w:ind w:left="425" w:leftChars="0" w:right="120" w:hanging="425" w:firstLineChars="0"/>
        <w:textAlignment w:val="baseline"/>
        <w:rPr>
          <w:rFonts w:ascii="Times New Roman" w:hAnsi="Times New Roman" w:eastAsia="Times New Roman" w:cs="Times New Roman"/>
        </w:rPr>
      </w:pPr>
      <w:bookmarkStart w:id="36" w:name="_Ref14645"/>
      <w:r>
        <w:rPr>
          <w:rFonts w:ascii="Times New Roman" w:hAnsi="Times New Roman" w:eastAsia="Times New Roman" w:cs="Times New Roman"/>
          <w:spacing w:val="-1"/>
        </w:rPr>
        <w:t>Crowe C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M. Data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reconciliation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1"/>
        </w:rPr>
        <w:t>—</w:t>
      </w:r>
      <w:r>
        <w:rPr>
          <w:rFonts w:ascii="Times New Roman" w:hAnsi="Times New Roman" w:eastAsia="Times New Roman" w:cs="Times New Roman"/>
          <w:spacing w:val="-1"/>
        </w:rPr>
        <w:t>Progress and chal</w:t>
      </w:r>
      <w:r>
        <w:rPr>
          <w:rFonts w:ascii="Times New Roman" w:hAnsi="Times New Roman" w:eastAsia="Times New Roman" w:cs="Times New Roman"/>
          <w:spacing w:val="-2"/>
        </w:rPr>
        <w:t>lenges[J].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Journal of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Process Control,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1996, 6(2-3):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89-98.</w:t>
      </w:r>
      <w:bookmarkEnd w:id="36"/>
    </w:p>
    <w:p w14:paraId="08C4AB0A">
      <w:pPr>
        <w:numPr>
          <w:ilvl w:val="0"/>
          <w:numId w:val="8"/>
        </w:numPr>
        <w:bidi w:val="0"/>
      </w:pPr>
      <w:bookmarkStart w:id="37" w:name="_Ref14655"/>
      <w:r>
        <w:t>Narasimhan S, Jordache C. The Importance of Data Reconciliation and Gross Error Detection[M]//Narasimhan S, Jordache C. Data Reconciliation and Gross Error Detection. Houston: Gulf Publishing Co., 2000: 1-31.</w:t>
      </w:r>
      <w:bookmarkEnd w:id="37"/>
    </w:p>
    <w:p w14:paraId="35AE4BB2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7" w:line="240" w:lineRule="auto"/>
        <w:ind w:left="425" w:leftChars="0" w:right="120" w:hanging="425" w:firstLineChars="0"/>
        <w:textAlignment w:val="baseline"/>
        <w:rPr>
          <w:rFonts w:ascii="Times New Roman" w:hAnsi="Times New Roman" w:eastAsia="Times New Roman" w:cs="Times New Roman"/>
          <w:spacing w:val="-2"/>
          <w:sz w:val="24"/>
          <w:szCs w:val="24"/>
        </w:rPr>
      </w:pPr>
      <w:bookmarkStart w:id="38" w:name="_Ref15233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Schweppe F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C, Wildes J.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Power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System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Static-State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Estimation,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I: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Exact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Model[J].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IEEE Transactions on Power Apparatus and Systems,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1970, PAS-89(1):  120-125.</w:t>
      </w:r>
      <w:bookmarkEnd w:id="38"/>
    </w:p>
    <w:p w14:paraId="55024809">
      <w:pPr>
        <w:numPr>
          <w:ilvl w:val="0"/>
          <w:numId w:val="8"/>
        </w:numPr>
        <w:bidi w:val="0"/>
        <w:rPr>
          <w:rFonts w:ascii="Times New Roman" w:hAnsi="Times New Roman" w:eastAsia="Times New Roman" w:cs="Times New Roman"/>
          <w:spacing w:val="-2"/>
          <w:szCs w:val="24"/>
        </w:rPr>
      </w:pPr>
      <w:bookmarkStart w:id="39" w:name="_Ref15239"/>
      <w:r>
        <w:t>Abur A, Gómez Expósito A. Power System State Estimation: Theory and Implementation[M]. New York: Marcel Dekker, 2004.</w:t>
      </w:r>
      <w:bookmarkEnd w:id="39"/>
    </w:p>
    <w:p w14:paraId="41C2E888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0" w:line="240" w:lineRule="auto"/>
        <w:ind w:left="425" w:leftChars="0" w:right="119" w:hanging="425" w:firstLineChars="0"/>
        <w:textAlignment w:val="baseline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40" w:name="_Ref15376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Chalendar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A,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Benson</w:t>
      </w:r>
      <w:r>
        <w:rPr>
          <w:rFonts w:ascii="Times New Roman" w:hAnsi="Times New Roman" w:eastAsia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M.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physic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s-informed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reconciliation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framework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41" w:name="bookmark9"/>
      <w:bookmarkEnd w:id="41"/>
      <w:r>
        <w:rPr>
          <w:rFonts w:ascii="Times New Roman" w:hAnsi="Times New Roman" w:eastAsia="Times New Roman" w:cs="Times New Roman"/>
          <w:sz w:val="24"/>
          <w:szCs w:val="24"/>
        </w:rPr>
        <w:t>real-time electricity 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nd emissions tracking[J]. Applied Energy, 2021, 304:  117761.</w:t>
      </w:r>
      <w:bookmarkEnd w:id="40"/>
    </w:p>
    <w:p w14:paraId="68BC53CA">
      <w:pPr>
        <w:numPr>
          <w:ilvl w:val="0"/>
          <w:numId w:val="8"/>
        </w:numPr>
        <w:bidi w:val="0"/>
        <w:rPr>
          <w:highlight w:val="none"/>
        </w:rPr>
      </w:pPr>
      <w:bookmarkStart w:id="42" w:name="_Ref8814"/>
      <w:r>
        <w:rPr>
          <w:highlight w:val="none"/>
        </w:rPr>
        <w:t>Liu Z, Li P, Wang C, et al. Robust State Estimation of Active Distribution Networks with Multi-source Measurements[J]. Journal of Modern Power Systems and Clean En- ergy, 2023, 11(4): 1540-1552. DOI: 10.35833/MPCE.2022.000200.</w:t>
      </w:r>
      <w:bookmarkEnd w:id="42"/>
    </w:p>
    <w:p w14:paraId="383049DC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0" w:line="240" w:lineRule="auto"/>
        <w:ind w:left="425" w:leftChars="0" w:right="119" w:hanging="425" w:firstLineChars="0"/>
        <w:textAlignment w:val="baseline"/>
        <w:rPr>
          <w:rFonts w:ascii="Times New Roman" w:hAnsi="Times New Roman" w:eastAsia="Times New Roman" w:cs="Times New Roman"/>
          <w:spacing w:val="-3"/>
          <w:sz w:val="24"/>
          <w:szCs w:val="24"/>
        </w:rPr>
      </w:pPr>
      <w:bookmarkStart w:id="43" w:name="_Ref16927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Bialek J. Tracing the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flow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 electricity[J].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IEE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Proceedings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Generation,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Transmission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44" w:name="bookmark10"/>
      <w:bookmarkEnd w:id="44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and Distribution,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1996,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143(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4):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313</w:t>
      </w:r>
      <w:r>
        <w:rPr>
          <w:rFonts w:hint="eastAsia" w:cs="Times New Roman"/>
          <w:spacing w:val="-3"/>
          <w:sz w:val="24"/>
          <w:szCs w:val="24"/>
          <w:lang w:val="en-US" w:eastAsia="zh-CN"/>
        </w:rPr>
        <w:t>-320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.</w:t>
      </w:r>
      <w:bookmarkEnd w:id="43"/>
    </w:p>
    <w:p w14:paraId="693202C2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6" w:line="240" w:lineRule="auto"/>
        <w:ind w:left="425" w:leftChars="0" w:right="120" w:hanging="425" w:firstLineChars="0"/>
        <w:textAlignment w:val="baseline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45" w:name="_Ref16931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Kang C, Zhou T, Chen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Q,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al.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Carbon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Emission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Flow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Generation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Demand: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46" w:name="bookmark12"/>
      <w:bookmarkEnd w:id="46"/>
      <w:r>
        <w:rPr>
          <w:rFonts w:ascii="Times New Roman" w:hAnsi="Times New Roman" w:eastAsia="Times New Roman" w:cs="Times New Roman"/>
          <w:sz w:val="24"/>
          <w:szCs w:val="24"/>
        </w:rPr>
        <w:t>Network-Based Model[J]. IEEE Transacti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ons on Smart Grid, 2015, 6(5):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2386-2394.</w:t>
      </w:r>
      <w:bookmarkEnd w:id="45"/>
    </w:p>
    <w:p w14:paraId="34A45A04">
      <w:pPr>
        <w:numPr>
          <w:ilvl w:val="0"/>
          <w:numId w:val="8"/>
        </w:numPr>
        <w:bidi w:val="0"/>
        <w:rPr>
          <w:rFonts w:ascii="Times New Roman" w:hAnsi="Times New Roman" w:eastAsia="Times New Roman" w:cs="Times New Roman"/>
          <w:spacing w:val="-1"/>
          <w:szCs w:val="24"/>
          <w:highlight w:val="none"/>
        </w:rPr>
      </w:pPr>
      <w:bookmarkStart w:id="47" w:name="_Ref18408"/>
      <w:r>
        <w:rPr>
          <w:highlight w:val="none"/>
        </w:rPr>
        <w:t xml:space="preserve">Sun X, Bao M, Ding Y, et al. Modeling and evaluation of probabilistic carbon emission flow for power systems considering load and renewable energy uncertainties[J]. Energy, 2024, 296: 130768. DOI: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"10.1016/j.energy.2024.130768" </w:instrText>
      </w:r>
      <w:r>
        <w:rPr>
          <w:highlight w:val="none"/>
        </w:rPr>
        <w:fldChar w:fldCharType="separate"/>
      </w:r>
      <w:r>
        <w:rPr>
          <w:highlight w:val="none"/>
        </w:rPr>
        <w:t>10.1016/j.energy.2024.130768</w:t>
      </w:r>
      <w:r>
        <w:rPr>
          <w:highlight w:val="none"/>
        </w:rPr>
        <w:fldChar w:fldCharType="end"/>
      </w:r>
      <w:r>
        <w:rPr>
          <w:highlight w:val="none"/>
        </w:rPr>
        <w:t>.</w:t>
      </w:r>
      <w:bookmarkEnd w:id="47"/>
    </w:p>
    <w:p w14:paraId="5444A1EE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9" w:line="240" w:lineRule="auto"/>
        <w:ind w:left="425" w:leftChars="0" w:right="119" w:hanging="425" w:firstLineChars="0"/>
        <w:textAlignment w:val="baseline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48" w:name="_Ref18103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Peters</w:t>
      </w:r>
      <w:r>
        <w:rPr>
          <w:rFonts w:ascii="Times New Roman" w:hAnsi="Times New Roman" w:eastAsia="Times New Roman" w:cs="Times New Roman"/>
          <w:spacing w:val="5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spacing w:val="4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P.</w:t>
      </w:r>
      <w:r>
        <w:rPr>
          <w:rFonts w:ascii="Times New Roman" w:hAnsi="Times New Roman" w:eastAsia="Times New Roman" w:cs="Times New Roman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spacing w:val="4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production-based</w:t>
      </w:r>
      <w:r>
        <w:rPr>
          <w:rFonts w:ascii="Times New Roman" w:hAnsi="Times New Roman" w:eastAsia="Times New Roman" w:cs="Times New Roman"/>
          <w:spacing w:val="4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consumption-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national</w:t>
      </w:r>
      <w:r>
        <w:rPr>
          <w:rFonts w:ascii="Times New Roman" w:hAnsi="Times New Roman" w:eastAsia="Times New Roman" w:cs="Times New Roman"/>
          <w:spacing w:val="4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emission</w:t>
      </w:r>
      <w:r>
        <w:rPr>
          <w:rFonts w:ascii="Times New Roman" w:hAnsi="Times New Roman" w:eastAsia="Times New Roman" w:cs="Times New Roman"/>
          <w:spacing w:val="4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invento-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49" w:name="bookmark13"/>
      <w:bookmarkEnd w:id="49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ries[J]. Ecological Economics, 2008, 65(1):  13-23.</w:t>
      </w:r>
      <w:bookmarkEnd w:id="48"/>
    </w:p>
    <w:p w14:paraId="7490787F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1" w:line="240" w:lineRule="auto"/>
        <w:ind w:left="425" w:leftChars="0" w:right="120" w:hanging="425" w:firstLineChars="0"/>
        <w:jc w:val="both"/>
        <w:textAlignment w:val="baseline"/>
        <w:rPr>
          <w:rFonts w:ascii="Times New Roman" w:hAnsi="Times New Roman" w:eastAsia="Times New Roman" w:cs="Times New Roman"/>
          <w:spacing w:val="-2"/>
          <w:sz w:val="24"/>
          <w:szCs w:val="24"/>
        </w:rPr>
      </w:pPr>
      <w:bookmarkStart w:id="50" w:name="_Ref18492"/>
      <w:r>
        <w:rPr>
          <w:rFonts w:ascii="Times New Roman" w:hAnsi="Times New Roman" w:eastAsia="Times New Roman" w:cs="Times New Roman"/>
          <w:sz w:val="24"/>
          <w:szCs w:val="24"/>
        </w:rPr>
        <w:t>Davis S J, Caldeira K. Consumption-based acc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ounting of CO</w:t>
      </w:r>
      <w:r>
        <w:rPr>
          <w:rFonts w:ascii="Times New Roman" w:hAnsi="Times New Roman" w:eastAsia="Times New Roman" w:cs="Times New Roman"/>
          <w:spacing w:val="-1"/>
          <w:position w:val="-3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37"/>
          <w:w w:val="102"/>
          <w:position w:val="-3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emissions[J]. Proceedings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51" w:name="bookmark14"/>
      <w:bookmarkEnd w:id="51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 the National Academy of Sciences, 2010,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107(12):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5687-56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92.</w:t>
      </w:r>
      <w:bookmarkEnd w:id="50"/>
    </w:p>
    <w:p w14:paraId="3B48A46B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line="240" w:lineRule="auto"/>
        <w:ind w:left="425" w:leftChars="0" w:right="120" w:hanging="425" w:firstLineChars="0"/>
        <w:jc w:val="both"/>
        <w:textAlignment w:val="baseline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52" w:name="_Ref18563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Gallego B, Lenzen M. A consistent in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put–output formulation of shared producer and con-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sumer responsibility[J]. Economic Systems Research, 2005,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17(4):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365-391.</w:t>
      </w:r>
      <w:bookmarkEnd w:id="52"/>
    </w:p>
    <w:p w14:paraId="0C419E2B">
      <w:pPr>
        <w:pStyle w:val="6"/>
        <w:numPr>
          <w:ilvl w:val="0"/>
          <w:numId w:val="8"/>
        </w:numPr>
        <w:spacing w:before="82" w:line="220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</w:rPr>
      </w:pPr>
      <w:bookmarkStart w:id="53" w:name="bookmark15"/>
      <w:bookmarkEnd w:id="53"/>
      <w:bookmarkStart w:id="54" w:name="_Ref18570"/>
      <w:r>
        <w:rPr>
          <w:rFonts w:ascii="Times New Roman" w:hAnsi="Times New Roman" w:eastAsia="Times New Roman" w:cs="Times New Roman"/>
          <w:spacing w:val="-1"/>
        </w:rPr>
        <w:t>Lenzen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Murray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J, Sack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et al. Shar</w:t>
      </w:r>
      <w:r>
        <w:rPr>
          <w:rFonts w:ascii="Times New Roman" w:hAnsi="Times New Roman" w:eastAsia="Times New Roman" w:cs="Times New Roman"/>
          <w:spacing w:val="-2"/>
        </w:rPr>
        <w:t>ed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producer and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consumer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responsibility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-2"/>
        </w:rPr>
        <w:t>—</w:t>
      </w:r>
      <w:r>
        <w:rPr>
          <w:rFonts w:ascii="Times New Roman" w:hAnsi="Times New Roman" w:eastAsia="Times New Roman" w:cs="Times New Roman"/>
          <w:spacing w:val="-2"/>
        </w:rPr>
        <w:t>Theory</w:t>
      </w:r>
      <w:r>
        <w:rPr>
          <w:rFonts w:ascii="Times New Roman" w:hAnsi="Times New Roman" w:eastAsia="Times New Roman" w:cs="Times New Roman"/>
        </w:rPr>
        <w:t xml:space="preserve"> </w:t>
      </w:r>
      <w:bookmarkStart w:id="55" w:name="bookmark16"/>
      <w:bookmarkEnd w:id="55"/>
      <w:r>
        <w:rPr>
          <w:rFonts w:ascii="Times New Roman" w:hAnsi="Times New Roman" w:eastAsia="Times New Roman" w:cs="Times New Roman"/>
        </w:rPr>
        <w:t>and practice[J]. Ecological Economics, 2</w:t>
      </w:r>
      <w:r>
        <w:rPr>
          <w:rFonts w:ascii="Times New Roman" w:hAnsi="Times New Roman" w:eastAsia="Times New Roman" w:cs="Times New Roman"/>
          <w:spacing w:val="-1"/>
        </w:rPr>
        <w:t>007, 61(1):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27-42.</w:t>
      </w:r>
      <w:bookmarkEnd w:id="54"/>
    </w:p>
    <w:p w14:paraId="35635F13">
      <w:pPr>
        <w:numPr>
          <w:ilvl w:val="0"/>
          <w:numId w:val="8"/>
        </w:numPr>
        <w:spacing w:before="237" w:line="241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2"/>
          <w:sz w:val="24"/>
          <w:szCs w:val="24"/>
        </w:rPr>
      </w:pPr>
      <w:bookmarkStart w:id="56" w:name="_Ref18668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Qin Q, Liu Y, Hua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ng J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P.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cooperative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game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analysis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allocation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of carbon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emis-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sions reduction responsibility in China’s power industry[J]. En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ergy Economics, 2020, 92: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57" w:name="bookmark18"/>
      <w:bookmarkEnd w:id="57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104960.</w:t>
      </w:r>
      <w:bookmarkEnd w:id="56"/>
    </w:p>
    <w:p w14:paraId="124C15B9">
      <w:pPr>
        <w:numPr>
          <w:ilvl w:val="0"/>
          <w:numId w:val="8"/>
        </w:numPr>
        <w:spacing w:before="231" w:line="220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2"/>
          <w:sz w:val="24"/>
          <w:szCs w:val="24"/>
        </w:rPr>
      </w:pPr>
      <w:bookmarkStart w:id="58" w:name="_Ref18740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Feng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K,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Davis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J,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Sun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L,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al.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Outsourcing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pacing w:val="-1"/>
          <w:position w:val="-3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pacing w:val="9"/>
          <w:w w:val="102"/>
          <w:position w:val="-3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within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China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[J].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Proceedings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of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59" w:name="bookmark19"/>
      <w:bookmarkEnd w:id="59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National Academy of Sci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ences, 2013,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110(28):  11654-11659.</w:t>
      </w:r>
      <w:bookmarkEnd w:id="58"/>
    </w:p>
    <w:p w14:paraId="2B76865A">
      <w:pPr>
        <w:numPr>
          <w:ilvl w:val="0"/>
          <w:numId w:val="8"/>
        </w:numPr>
        <w:spacing w:before="256" w:line="235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60" w:name="_Ref19910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Raupach M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R,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Davis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 J,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Peters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P,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al.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Sharing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quota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cumulative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carbon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emis-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61" w:name="bookmark20"/>
      <w:bookmarkEnd w:id="61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sions[J]. Nature Climate Change, 2014, 4(10):</w:t>
      </w:r>
      <w:r>
        <w:rPr>
          <w:rFonts w:ascii="Times New Roman" w:hAnsi="Times New Roman" w:eastAsia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873-879.</w:t>
      </w:r>
      <w:bookmarkEnd w:id="60"/>
    </w:p>
    <w:p w14:paraId="273D9831">
      <w:pPr>
        <w:numPr>
          <w:ilvl w:val="0"/>
          <w:numId w:val="8"/>
        </w:numPr>
        <w:spacing w:before="234" w:line="233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Zhou</w:t>
      </w:r>
      <w:r>
        <w:rPr>
          <w:rFonts w:ascii="Times New Roman" w:hAnsi="Times New Roman" w:eastAsia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P,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Wang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M.</w:t>
      </w:r>
      <w:r>
        <w:rPr>
          <w:rFonts w:ascii="Times New Roman" w:hAnsi="Times New Roman" w:eastAsia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Carbon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dioxide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emissions</w:t>
      </w:r>
      <w:r>
        <w:rPr>
          <w:rFonts w:ascii="Times New Roman" w:hAnsi="Times New Roman" w:eastAsia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allo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cation:  A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review[J].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Ecological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Eco-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62" w:name="bookmark21"/>
      <w:bookmarkEnd w:id="62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nomics, 2016,</w:t>
      </w:r>
      <w:r>
        <w:rPr>
          <w:rFonts w:ascii="Times New Roman" w:hAnsi="Times New Roman" w:eastAsia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125: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47-59.</w:t>
      </w:r>
    </w:p>
    <w:p w14:paraId="215794DA">
      <w:pPr>
        <w:numPr>
          <w:ilvl w:val="0"/>
          <w:numId w:val="8"/>
        </w:numPr>
        <w:spacing w:before="239" w:line="221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63" w:name="_Ref19920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Wang K, Zhang X, Wei Y M, et al. Regional allocati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of CO</w:t>
      </w:r>
      <w:r>
        <w:rPr>
          <w:rFonts w:ascii="Times New Roman" w:hAnsi="Times New Roman" w:eastAsia="Times New Roman" w:cs="Times New Roman"/>
          <w:spacing w:val="-2"/>
          <w:position w:val="-3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position w:val="-3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emissions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allowance ove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64" w:name="bookmark23"/>
      <w:bookmarkEnd w:id="64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provinces in China by 2020[J]. Energy Policy, 2013, 54: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214-229.</w:t>
      </w:r>
      <w:bookmarkEnd w:id="63"/>
    </w:p>
    <w:p w14:paraId="694C1B36">
      <w:pPr>
        <w:numPr>
          <w:ilvl w:val="0"/>
          <w:numId w:val="8"/>
        </w:numPr>
        <w:spacing w:before="258" w:line="234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65" w:name="_Ref19024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Koltsaklis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E,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Dagoumas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S.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State-of-the-art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generation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planning:  A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re-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66" w:name="bookmark25"/>
      <w:bookmarkEnd w:id="66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view[J]. Applied Energy, 2018, 230: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563-589.</w:t>
      </w:r>
      <w:bookmarkEnd w:id="65"/>
    </w:p>
    <w:p w14:paraId="517318E1">
      <w:pPr>
        <w:numPr>
          <w:ilvl w:val="0"/>
          <w:numId w:val="8"/>
        </w:numPr>
        <w:spacing w:before="235" w:line="238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3"/>
          <w:sz w:val="24"/>
          <w:szCs w:val="24"/>
        </w:rPr>
      </w:pPr>
      <w:bookmarkStart w:id="67" w:name="_Ref19066"/>
      <w:r>
        <w:rPr>
          <w:rFonts w:ascii="Times New Roman" w:hAnsi="Times New Roman" w:eastAsia="Times New Roman" w:cs="Times New Roman"/>
          <w:sz w:val="24"/>
          <w:szCs w:val="24"/>
        </w:rPr>
        <w:t>Bertsimas D, Sim M. The Price 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 Robustness[J]. Operations Research,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2004,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52(1):</w:t>
      </w:r>
      <w:r>
        <w:rPr>
          <w:rFonts w:ascii="Times New Roman" w:hAnsi="Times New Roman" w:eastAsia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35-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68" w:name="bookmark27"/>
      <w:bookmarkEnd w:id="68"/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53.</w:t>
      </w:r>
      <w:bookmarkEnd w:id="67"/>
    </w:p>
    <w:p w14:paraId="51ECA377">
      <w:pPr>
        <w:numPr>
          <w:ilvl w:val="0"/>
          <w:numId w:val="8"/>
        </w:numPr>
        <w:spacing w:before="230" w:line="234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69" w:name="_Ref19174"/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Ben-Tal A, Goryashko A, Guslitzer E, et al. Adjustable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robust solutions 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uncertain linea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70" w:name="bookmark28"/>
      <w:bookmarkEnd w:id="70"/>
      <w:r>
        <w:rPr>
          <w:rFonts w:ascii="Times New Roman" w:hAnsi="Times New Roman" w:eastAsia="Times New Roman" w:cs="Times New Roman"/>
          <w:sz w:val="24"/>
          <w:szCs w:val="24"/>
        </w:rPr>
        <w:t>programs[J]. Mathematical Programming, 2004, 99(2):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351-376.</w:t>
      </w:r>
      <w:bookmarkEnd w:id="69"/>
    </w:p>
    <w:p w14:paraId="6C2572E7">
      <w:pPr>
        <w:numPr>
          <w:ilvl w:val="0"/>
          <w:numId w:val="8"/>
        </w:numPr>
        <w:spacing w:before="258" w:line="234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Barkom E, Saber H, Moeini-Aghtaie M, et al. Minimax Regret Robust Co-Planning of Transmission and Energy Storage Systems With Mixed Integer Recourse[J]. IEEE Transactions on Sustainable Energy, 2025, 16(3): 2144-2156. DOI: 10.1109/TSTE.2025.3547836.</w:t>
      </w:r>
    </w:p>
    <w:p w14:paraId="5F0D600A">
      <w:pPr>
        <w:numPr>
          <w:ilvl w:val="0"/>
          <w:numId w:val="8"/>
        </w:numPr>
        <w:spacing w:before="237" w:line="234" w:lineRule="auto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bookmarkStart w:id="71" w:name="_Ref19132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Zeng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B,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Zhao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L.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Solving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two-stage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robust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optimization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pro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blems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column-and-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id="72" w:name="bookmark29"/>
      <w:bookmarkEnd w:id="72"/>
      <w:r>
        <w:rPr>
          <w:rFonts w:ascii="Times New Roman" w:hAnsi="Times New Roman" w:eastAsia="Times New Roman" w:cs="Times New Roman"/>
          <w:sz w:val="24"/>
          <w:szCs w:val="24"/>
        </w:rPr>
        <w:t xml:space="preserve">constraint generation method[J]. Operations Research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Letters, 2013, 41(5):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457-461.</w:t>
      </w:r>
      <w:bookmarkEnd w:id="71"/>
    </w:p>
    <w:p w14:paraId="1A07CB62">
      <w:pPr>
        <w:numPr>
          <w:ilvl w:val="0"/>
          <w:numId w:val="8"/>
        </w:numPr>
        <w:spacing w:before="236"/>
        <w:ind w:left="425" w:leftChars="0" w:hanging="425" w:firstLineChars="0"/>
        <w:jc w:val="both"/>
        <w:rPr>
          <w:rFonts w:ascii="Times New Roman" w:hAnsi="Times New Roman" w:eastAsia="Times New Roman" w:cs="Times New Roman"/>
          <w:spacing w:val="-3"/>
          <w:sz w:val="24"/>
          <w:szCs w:val="24"/>
        </w:rPr>
      </w:pPr>
      <w:bookmarkStart w:id="73" w:name="_Ref19236"/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Silvente J, Kopanos G M, Pistikopoulos E N, et al. A rolling horizon optimization frame-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 for the simultaneous energy supply an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 demand planning in microgrids[J]. Applied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Energy, 2015,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155: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485-5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01.</w:t>
      </w:r>
      <w:bookmarkEnd w:id="73"/>
    </w:p>
    <w:p w14:paraId="49BBC514">
      <w:pPr>
        <w:numPr>
          <w:ilvl w:val="0"/>
          <w:numId w:val="0"/>
        </w:numPr>
        <w:spacing w:before="236"/>
        <w:ind w:leftChars="0"/>
        <w:rPr>
          <w:rFonts w:ascii="Times New Roman" w:hAnsi="Times New Roman" w:eastAsia="Times New Roman" w:cs="Times New Roman"/>
          <w:spacing w:val="-3"/>
          <w:sz w:val="24"/>
          <w:szCs w:val="24"/>
        </w:rPr>
        <w:sectPr>
          <w:footerReference r:id="rId5" w:type="default"/>
          <w:pgSz w:w="11906" w:h="16838"/>
          <w:pgMar w:top="1431" w:right="1439" w:bottom="1009" w:left="1461" w:header="0" w:footer="79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00FFD412">
      <w:pPr>
        <w:pStyle w:val="6"/>
        <w:spacing w:before="58" w:line="211" w:lineRule="auto"/>
        <w:ind w:left="0" w:leftChars="0" w:firstLine="0" w:firstLineChars="0"/>
        <w:outlineLvl w:val="0"/>
        <w:rPr>
          <w:rFonts w:hint="eastAsia" w:ascii="黑体" w:hAnsi="黑体" w:eastAsia="黑体" w:cs="黑体"/>
          <w:b/>
          <w:bCs/>
          <w:spacing w:val="-6"/>
          <w:sz w:val="32"/>
          <w:szCs w:val="32"/>
          <w:lang w:val="en-US" w:eastAsia="zh-CN"/>
        </w:rPr>
      </w:pPr>
      <w:bookmarkStart w:id="74" w:name="_Toc5673"/>
      <w:r>
        <w:rPr>
          <w:rFonts w:hint="eastAsia" w:ascii="黑体" w:hAnsi="黑体" w:eastAsia="黑体" w:cs="黑体"/>
          <w:b/>
          <w:bCs/>
          <w:spacing w:val="-6"/>
          <w:sz w:val="32"/>
          <w:szCs w:val="32"/>
          <w:lang w:val="en-US" w:eastAsia="zh-CN"/>
        </w:rPr>
        <w:t>附件1</w:t>
      </w:r>
      <w:bookmarkEnd w:id="74"/>
    </w:p>
    <w:p w14:paraId="1BFEEC88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主要源程序说明</w:t>
      </w:r>
    </w:p>
    <w:p w14:paraId="562FF90C">
      <w:pPr>
        <w:bidi w:val="0"/>
      </w:pPr>
      <w:r>
        <w:t>完整可运行代码见支撑材料目录 src/。此处只给出与正文公式直接对应的核心片段，软件依赖见 requirements.txt。计算入口：</w:t>
      </w:r>
    </w:p>
    <w:p w14:paraId="1081BAC9">
      <w:pPr>
        <w:pStyle w:val="6"/>
        <w:bidi w:val="0"/>
      </w:pPr>
      <w:r>
        <w:t>•  python -m src.q1_reconcile.main</w:t>
      </w:r>
    </w:p>
    <w:p w14:paraId="6FC46785">
      <w:pPr>
        <w:pStyle w:val="6"/>
        <w:bidi w:val="0"/>
      </w:pPr>
      <w:r>
        <w:t>•  python -m src.q2_carbonflow.main</w:t>
      </w:r>
    </w:p>
    <w:p w14:paraId="32384E92">
      <w:pPr>
        <w:pStyle w:val="6"/>
        <w:bidi w:val="0"/>
      </w:pPr>
      <w:r>
        <w:t>•  python -m src.q3_portfolio.main</w:t>
      </w:r>
    </w:p>
    <w:p w14:paraId="248ECE60">
      <w:pPr>
        <w:pStyle w:val="6"/>
        <w:bidi w:val="0"/>
      </w:pPr>
      <w:r>
        <w:t>•  python -m src.q4_robust.main</w:t>
      </w:r>
    </w:p>
    <w:p w14:paraId="2E0CA184">
      <w:pPr>
        <w:pStyle w:val="6"/>
        <w:bidi w:val="0"/>
      </w:pPr>
      <w:r>
        <w:t>•  python -m src.q5_report.main</w:t>
      </w:r>
    </w:p>
    <w:p w14:paraId="2E1CD3AF">
      <w:pPr>
        <w:pStyle w:val="6"/>
        <w:bidi w:val="0"/>
      </w:pPr>
      <w:r>
        <w:t>•  python -m src.deepen.main（加分件，不覆盖主结果）</w:t>
      </w:r>
    </w:p>
    <w:p w14:paraId="676EBD54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问题一：能量平衡硬约束与 WLS 目标</w:t>
      </w:r>
    </w:p>
    <w:p w14:paraId="1567AC7B">
      <w:pPr>
        <w:spacing w:line="37" w:lineRule="exact"/>
      </w:pPr>
    </w:p>
    <w:tbl>
      <w:tblPr>
        <w:tblStyle w:val="14"/>
        <w:tblW w:w="9156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6"/>
      </w:tblGrid>
      <w:tr w14:paraId="70A34E6B">
        <w:trPr>
          <w:trHeight w:val="1745" w:hRule="atLeast"/>
        </w:trPr>
        <w:tc>
          <w:tcPr>
            <w:tcW w:w="9156" w:type="dxa"/>
            <w:vAlign w:val="top"/>
          </w:tcPr>
          <w:p w14:paraId="29A7E039">
            <w:pPr>
              <w:spacing w:before="36" w:line="236" w:lineRule="auto"/>
              <w:ind w:left="67" w:right="6504" w:firstLine="8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 xml:space="preserve"># </w:t>
            </w:r>
            <w:r>
              <w:fldChar w:fldCharType="begin"/>
            </w:r>
            <w:r>
              <w:instrText xml:space="preserve"> HYPERLINK "src/q1_reconcile/main.py"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src/q1_reconcile/main.py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fldChar w:fldCharType="end"/>
            </w:r>
            <w:r>
              <w:rPr>
                <w:rFonts w:ascii="Courier New" w:hAnsi="Courier New" w:eastAsia="Courier New" w:cs="Courier New"/>
                <w:i/>
                <w:iCs/>
                <w:spacing w:val="2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(</w:t>
            </w:r>
            <w:r>
              <w:rPr>
                <w:rFonts w:ascii="宋体" w:hAnsi="宋体" w:eastAsia="宋体" w:cs="宋体"/>
                <w:spacing w:val="-13"/>
                <w:sz w:val="15"/>
                <w:szCs w:val="15"/>
              </w:rPr>
              <w:t>节选</w:t>
            </w:r>
            <w:r>
              <w:rPr>
                <w:rFonts w:ascii="Courier New" w:hAnsi="Courier New" w:eastAsia="Courier New" w:cs="Courier New"/>
                <w:i/>
                <w:iCs/>
                <w:spacing w:val="-13"/>
                <w:sz w:val="15"/>
                <w:szCs w:val="15"/>
              </w:rPr>
              <w:t>)</w:t>
            </w:r>
            <w:r>
              <w:rPr>
                <w:rFonts w:ascii="Courier New" w:hAnsi="Courier New" w:eastAsia="Courier New" w:cs="Courier New"/>
                <w:i/>
                <w:iCs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sz w:val="15"/>
                <w:szCs w:val="15"/>
              </w:rPr>
              <w:t>LOSS_PRIOR_RATE = 0.05</w:t>
            </w:r>
          </w:p>
          <w:p w14:paraId="396CB3AC">
            <w:pPr>
              <w:spacing w:line="261" w:lineRule="auto"/>
              <w:ind w:left="553" w:right="3592" w:hanging="483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>SIG = {"gen":</w:t>
            </w:r>
            <w:r>
              <w:rPr>
                <w:rFonts w:ascii="Courier New" w:hAnsi="Courier New" w:eastAsia="Courier New" w:cs="Courier New"/>
                <w:spacing w:val="1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>(0.020, 1.0),</w:t>
            </w:r>
            <w:r>
              <w:rPr>
                <w:rFonts w:ascii="Courier New" w:hAnsi="Courier New" w:eastAsia="Courier New" w:cs="Courier New"/>
                <w:spacing w:val="9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sz w:val="15"/>
                <w:szCs w:val="15"/>
              </w:rPr>
              <w:t>"imp":</w:t>
            </w:r>
            <w:r>
              <w:rPr>
                <w:rFonts w:ascii="Courier New" w:hAnsi="Courier New" w:eastAsia="Courier New" w:cs="Courier New"/>
                <w:spacing w:val="1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sz w:val="15"/>
                <w:szCs w:val="15"/>
              </w:rPr>
              <w:t>(0.020, 0.5),</w:t>
            </w:r>
            <w:r>
              <w:rPr>
                <w:rFonts w:ascii="Courier New" w:hAnsi="Courier New" w:eastAsia="Courier New" w:cs="Courier New"/>
                <w:spacing w:val="9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sz w:val="15"/>
                <w:szCs w:val="15"/>
              </w:rPr>
              <w:t>"dem":</w:t>
            </w:r>
            <w:r>
              <w:rPr>
                <w:rFonts w:ascii="Courier New" w:hAnsi="Courier New" w:eastAsia="Courier New" w:cs="Courier New"/>
                <w:spacing w:val="1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sz w:val="15"/>
                <w:szCs w:val="15"/>
              </w:rPr>
              <w:t>(0.020,</w:t>
            </w:r>
            <w:r>
              <w:rPr>
                <w:rFonts w:ascii="Courier New" w:hAnsi="Courier New" w:eastAsia="Courier New" w:cs="Courier New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sz w:val="15"/>
                <w:szCs w:val="15"/>
              </w:rPr>
              <w:t>1.0),</w:t>
            </w:r>
            <w:r>
              <w:rPr>
                <w:rFonts w:ascii="Courier New" w:hAnsi="Courier New" w:eastAsia="Courier New" w:cs="Courier New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>"demtot":</w:t>
            </w:r>
            <w:r>
              <w:rPr>
                <w:rFonts w:ascii="Courier New" w:hAnsi="Courier New" w:eastAsia="Courier New" w:cs="Courier New"/>
                <w:spacing w:val="1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>(0.015, 1.0),</w:t>
            </w:r>
            <w:r>
              <w:rPr>
                <w:rFonts w:ascii="Courier New" w:hAnsi="Courier New" w:eastAsia="Courier New" w:cs="Courier New"/>
                <w:spacing w:val="9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>"flow":</w:t>
            </w:r>
            <w:r>
              <w:rPr>
                <w:rFonts w:ascii="Courier New" w:hAnsi="Courier New" w:eastAsia="Courier New" w:cs="Courier New"/>
                <w:spacing w:val="1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>(</w:t>
            </w:r>
            <w:r>
              <w:rPr>
                <w:rFonts w:ascii="Courier New" w:hAnsi="Courier New" w:eastAsia="Courier New" w:cs="Courier New"/>
                <w:spacing w:val="-13"/>
                <w:sz w:val="15"/>
                <w:szCs w:val="15"/>
              </w:rPr>
              <w:t>0.025, 0.5),</w:t>
            </w:r>
          </w:p>
          <w:p w14:paraId="4010C720">
            <w:pPr>
              <w:spacing w:line="190" w:lineRule="exact"/>
              <w:ind w:left="554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2"/>
                <w:position w:val="3"/>
                <w:sz w:val="15"/>
                <w:szCs w:val="15"/>
              </w:rPr>
              <w:t>"ann":</w:t>
            </w:r>
            <w:r>
              <w:rPr>
                <w:rFonts w:ascii="Courier New" w:hAnsi="Courier New" w:eastAsia="Courier New" w:cs="Courier New"/>
                <w:spacing w:val="15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3"/>
                <w:sz w:val="15"/>
                <w:szCs w:val="15"/>
              </w:rPr>
              <w:t>(0.015, 2.0),</w:t>
            </w:r>
            <w:r>
              <w:rPr>
                <w:rFonts w:ascii="Courier New" w:hAnsi="Courier New" w:eastAsia="Courier New" w:cs="Courier New"/>
                <w:spacing w:val="9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3"/>
                <w:sz w:val="15"/>
                <w:szCs w:val="15"/>
              </w:rPr>
              <w:t>"ann_ch":</w:t>
            </w:r>
            <w:r>
              <w:rPr>
                <w:rFonts w:ascii="Courier New" w:hAnsi="Courier New" w:eastAsia="Courier New" w:cs="Courier New"/>
                <w:spacing w:val="15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3"/>
                <w:sz w:val="15"/>
                <w:szCs w:val="15"/>
              </w:rPr>
              <w:t>(0</w:t>
            </w:r>
            <w:r>
              <w:rPr>
                <w:rFonts w:ascii="Courier New" w:hAnsi="Courier New" w:eastAsia="Courier New" w:cs="Courier New"/>
                <w:spacing w:val="-13"/>
                <w:position w:val="3"/>
                <w:sz w:val="15"/>
                <w:szCs w:val="15"/>
              </w:rPr>
              <w:t>.015, 1.0)}</w:t>
            </w:r>
          </w:p>
          <w:p w14:paraId="7E0F227D">
            <w:pPr>
              <w:spacing w:before="11" w:line="185" w:lineRule="auto"/>
              <w:ind w:left="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 xml:space="preserve"># </w:t>
            </w:r>
            <w:r>
              <w:rPr>
                <w:rFonts w:ascii="宋体" w:hAnsi="宋体" w:eastAsia="宋体" w:cs="宋体"/>
                <w:spacing w:val="-12"/>
                <w:sz w:val="15"/>
                <w:szCs w:val="15"/>
              </w:rPr>
              <w:t>硬约束</w:t>
            </w:r>
            <w:r>
              <w:rPr>
                <w:rFonts w:ascii="宋体" w:hAnsi="宋体" w:eastAsia="宋体" w:cs="宋体"/>
                <w:spacing w:val="-30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: gen+imp+re</w:t>
            </w:r>
            <w:r>
              <w:rPr>
                <w:rFonts w:ascii="Courier New" w:hAnsi="Courier New" w:eastAsia="Courier New" w:cs="Courier New"/>
                <w:i/>
                <w:iCs/>
                <w:spacing w:val="-70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cv_in == dem+sent_out+loss</w:t>
            </w:r>
          </w:p>
          <w:p w14:paraId="05103912">
            <w:pPr>
              <w:spacing w:line="186" w:lineRule="exact"/>
              <w:ind w:left="73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2"/>
                <w:sz w:val="15"/>
                <w:szCs w:val="15"/>
              </w:rPr>
              <w:t>cons.append(cp.</w:t>
            </w:r>
            <w:r>
              <w:rPr>
                <w:rFonts w:ascii="Courier New" w:hAnsi="Courier New" w:eastAsia="Courier New" w:cs="Courier New"/>
                <w:b/>
                <w:bCs/>
                <w:spacing w:val="-10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0"/>
                <w:position w:val="2"/>
                <w:sz w:val="15"/>
                <w:szCs w:val="15"/>
              </w:rPr>
              <w:t>(gen[k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]) + imp[k] + fin</w:t>
            </w:r>
          </w:p>
          <w:p w14:paraId="4528AF41">
            <w:pPr>
              <w:spacing w:line="180" w:lineRule="exact"/>
              <w:ind w:left="878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== cp.</w:t>
            </w: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(dem[k]) + fout</w:t>
            </w:r>
            <w:r>
              <w:rPr>
                <w:rFonts w:ascii="Courier New" w:hAnsi="Courier New" w:eastAsia="Courier New" w:cs="Courier New"/>
                <w:spacing w:val="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spacing w:val="-1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loss[k])</w:t>
            </w:r>
          </w:p>
          <w:p w14:paraId="1FB08258">
            <w:pPr>
              <w:spacing w:line="190" w:lineRule="exact"/>
              <w:ind w:left="64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2"/>
                <w:sz w:val="15"/>
                <w:szCs w:val="15"/>
              </w:rPr>
              <w:t>prob = cp.Problem(cp.Minimize(cp.</w:t>
            </w:r>
            <w:r>
              <w:rPr>
                <w:rFonts w:ascii="Courier New" w:hAnsi="Courier New" w:eastAsia="Courier New" w:cs="Courier New"/>
                <w:b/>
                <w:bCs/>
                <w:spacing w:val="-10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0"/>
                <w:position w:val="2"/>
                <w:sz w:val="15"/>
                <w:szCs w:val="15"/>
              </w:rPr>
              <w:t>(te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rms)), cons)</w:t>
            </w:r>
          </w:p>
        </w:tc>
      </w:tr>
    </w:tbl>
    <w:p w14:paraId="7A94F2B3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问题二：节点碳势</w:t>
      </w:r>
    </w:p>
    <w:p w14:paraId="0924197B">
      <w:pPr>
        <w:spacing w:line="38" w:lineRule="exact"/>
      </w:pPr>
    </w:p>
    <w:tbl>
      <w:tblPr>
        <w:tblStyle w:val="14"/>
        <w:tblW w:w="9156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6"/>
      </w:tblGrid>
      <w:tr w14:paraId="2642C31C">
        <w:trPr>
          <w:trHeight w:val="1025" w:hRule="atLeast"/>
        </w:trPr>
        <w:tc>
          <w:tcPr>
            <w:tcW w:w="9156" w:type="dxa"/>
            <w:vAlign w:val="top"/>
          </w:tcPr>
          <w:p w14:paraId="4FBF0C2A">
            <w:pPr>
              <w:spacing w:before="36" w:line="232" w:lineRule="auto"/>
              <w:ind w:left="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 xml:space="preserve"># </w:t>
            </w:r>
            <w:r>
              <w:fldChar w:fldCharType="begin"/>
            </w:r>
            <w:r>
              <w:instrText xml:space="preserve"> HYPERLINK "src/q2_carbonflow/main.py"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src/q2_carbonflow/main.py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fldChar w:fldCharType="end"/>
            </w:r>
            <w:r>
              <w:rPr>
                <w:rFonts w:ascii="Courier New" w:hAnsi="Courier New" w:eastAsia="Courier New" w:cs="Courier New"/>
                <w:i/>
                <w:iCs/>
                <w:spacing w:val="31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(</w:t>
            </w:r>
            <w:r>
              <w:rPr>
                <w:rFonts w:ascii="宋体" w:hAnsi="宋体" w:eastAsia="宋体" w:cs="宋体"/>
                <w:spacing w:val="-12"/>
                <w:sz w:val="15"/>
                <w:szCs w:val="15"/>
              </w:rPr>
              <w:t>节选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)</w:t>
            </w:r>
          </w:p>
          <w:p w14:paraId="41ECF9C1">
            <w:pPr>
              <w:spacing w:line="190" w:lineRule="exact"/>
              <w:ind w:left="71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Q = G.</w:t>
            </w: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(axis=1) + imp</w:t>
            </w:r>
            <w:r>
              <w:rPr>
                <w:rFonts w:ascii="Courier New" w:hAnsi="Courier New" w:eastAsia="Courier New" w:cs="Courier New"/>
                <w:spacing w:val="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spacing w:val="1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inflow.</w:t>
            </w: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(axis=1)</w:t>
            </w:r>
          </w:p>
          <w:p w14:paraId="55D91EEB">
            <w:pPr>
              <w:spacing w:before="11" w:line="217" w:lineRule="auto"/>
              <w:ind w:left="66" w:right="5204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0"/>
                <w:sz w:val="15"/>
                <w:szCs w:val="15"/>
              </w:rPr>
              <w:t>A = np.diag(Q) - carried</w:t>
            </w:r>
            <w:r>
              <w:rPr>
                <w:rFonts w:ascii="Courier New" w:hAnsi="Courier New" w:eastAsia="Courier New" w:cs="Courier New"/>
                <w:spacing w:val="7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sz w:val="15"/>
                <w:szCs w:val="15"/>
              </w:rPr>
              <w:t># carried:</w:t>
            </w:r>
            <w:r>
              <w:rPr>
                <w:rFonts w:ascii="Courier New" w:hAnsi="Courier New" w:eastAsia="Courier New" w:cs="Courier New"/>
                <w:i/>
                <w:iCs/>
                <w:spacing w:val="4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15"/>
                <w:szCs w:val="15"/>
              </w:rPr>
              <w:t>到达电量口径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sz w:val="15"/>
                <w:szCs w:val="15"/>
              </w:rPr>
              <w:t xml:space="preserve">rho = np.linalg.solve(A, b)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#</w:t>
            </w:r>
            <w:r>
              <w:rPr>
                <w:rFonts w:ascii="Courier New" w:hAnsi="Courier New" w:eastAsia="Courier New" w:cs="Courier New"/>
                <w:i/>
                <w:iCs/>
                <w:spacing w:val="14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(dia</w:t>
            </w:r>
            <w:r>
              <w:rPr>
                <w:rFonts w:ascii="Courier New" w:hAnsi="Courier New" w:eastAsia="Courier New" w:cs="Courier New"/>
                <w:i/>
                <w:iCs/>
                <w:spacing w:val="-13"/>
                <w:sz w:val="15"/>
                <w:szCs w:val="15"/>
              </w:rPr>
              <w:t>g(Q)-C)</w:t>
            </w:r>
            <w:r>
              <w:rPr>
                <w:rFonts w:ascii="Courier New" w:hAnsi="Courier New" w:eastAsia="Courier New" w:cs="Courier New"/>
                <w:i/>
                <w:iCs/>
                <w:spacing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3"/>
                <w:sz w:val="15"/>
                <w:szCs w:val="15"/>
              </w:rPr>
              <w:t>rho</w:t>
            </w:r>
            <w:r>
              <w:rPr>
                <w:rFonts w:ascii="Courier New" w:hAnsi="Courier New" w:eastAsia="Courier New" w:cs="Courier New"/>
                <w:i/>
                <w:iCs/>
                <w:spacing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3"/>
                <w:sz w:val="15"/>
                <w:szCs w:val="15"/>
              </w:rPr>
              <w:t>=</w:t>
            </w:r>
            <w:r>
              <w:rPr>
                <w:rFonts w:ascii="Courier New" w:hAnsi="Courier New" w:eastAsia="Courier New" w:cs="Courier New"/>
                <w:i/>
                <w:iCs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3"/>
                <w:sz w:val="15"/>
                <w:szCs w:val="15"/>
              </w:rPr>
              <w:t>b</w:t>
            </w:r>
          </w:p>
          <w:p w14:paraId="4DB6A7E0">
            <w:pPr>
              <w:spacing w:line="213" w:lineRule="exact"/>
              <w:ind w:left="62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9"/>
                <w:position w:val="2"/>
                <w:sz w:val="15"/>
                <w:szCs w:val="15"/>
              </w:rPr>
              <w:t xml:space="preserve">mix = np.linalg.solve(np.diag(Q) - inflow, B) </w:t>
            </w:r>
            <w:r>
              <w:rPr>
                <w:rFonts w:ascii="Courier New" w:hAnsi="Courier New" w:eastAsia="Courier New" w:cs="Courier New"/>
                <w:i/>
                <w:iCs/>
                <w:spacing w:val="-9"/>
                <w:position w:val="2"/>
                <w:sz w:val="15"/>
                <w:szCs w:val="15"/>
              </w:rPr>
              <w:t xml:space="preserve"># </w:t>
            </w:r>
            <w:r>
              <w:rPr>
                <w:rFonts w:ascii="宋体" w:hAnsi="宋体" w:eastAsia="宋体" w:cs="宋体"/>
                <w:spacing w:val="-9"/>
                <w:position w:val="2"/>
                <w:sz w:val="15"/>
                <w:szCs w:val="15"/>
              </w:rPr>
              <w:t>来源份额</w:t>
            </w:r>
            <w:r>
              <w:rPr>
                <w:rFonts w:ascii="Courier New" w:hAnsi="Courier New" w:eastAsia="Courier New" w:cs="Courier New"/>
                <w:i/>
                <w:iCs/>
                <w:spacing w:val="-9"/>
                <w:position w:val="2"/>
                <w:sz w:val="15"/>
                <w:szCs w:val="15"/>
              </w:rPr>
              <w:t>,</w:t>
            </w:r>
            <w:r>
              <w:rPr>
                <w:rFonts w:ascii="宋体" w:hAnsi="宋体" w:eastAsia="宋体" w:cs="宋体"/>
                <w:spacing w:val="-9"/>
                <w:position w:val="2"/>
                <w:sz w:val="15"/>
                <w:szCs w:val="15"/>
              </w:rPr>
              <w:t>勿再除</w:t>
            </w:r>
            <w:r>
              <w:rPr>
                <w:rFonts w:ascii="宋体" w:hAnsi="宋体" w:eastAsia="宋体" w:cs="宋体"/>
                <w:spacing w:val="19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9"/>
                <w:position w:val="2"/>
                <w:sz w:val="15"/>
                <w:szCs w:val="15"/>
              </w:rPr>
              <w:t>Q</w:t>
            </w:r>
          </w:p>
        </w:tc>
      </w:tr>
    </w:tbl>
    <w:p w14:paraId="7F1520DA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问题三：官方碳口径与目标</w:t>
      </w:r>
    </w:p>
    <w:p w14:paraId="6ACF4AA3">
      <w:pPr>
        <w:spacing w:line="37" w:lineRule="exact"/>
      </w:pPr>
    </w:p>
    <w:tbl>
      <w:tblPr>
        <w:tblStyle w:val="14"/>
        <w:tblW w:w="9156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6"/>
      </w:tblGrid>
      <w:tr w14:paraId="5C82F6C9">
        <w:trPr>
          <w:trHeight w:val="1385" w:hRule="atLeast"/>
        </w:trPr>
        <w:tc>
          <w:tcPr>
            <w:tcW w:w="9156" w:type="dxa"/>
            <w:vAlign w:val="top"/>
          </w:tcPr>
          <w:p w14:paraId="64EFF4DC">
            <w:pPr>
              <w:spacing w:before="36" w:line="232" w:lineRule="auto"/>
              <w:ind w:left="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 xml:space="preserve"># </w:t>
            </w:r>
            <w:r>
              <w:fldChar w:fldCharType="begin"/>
            </w:r>
            <w:r>
              <w:instrText xml:space="preserve"> HYPERLINK "src/q3_portfolio/main.py"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src/q3_portfolio/main.py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fldChar w:fldCharType="end"/>
            </w:r>
            <w:r>
              <w:rPr>
                <w:rFonts w:ascii="Courier New" w:hAnsi="Courier New" w:eastAsia="Courier New" w:cs="Courier New"/>
                <w:i/>
                <w:iCs/>
                <w:spacing w:val="30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(</w:t>
            </w:r>
            <w:r>
              <w:rPr>
                <w:rFonts w:ascii="宋体" w:hAnsi="宋体" w:eastAsia="宋体" w:cs="宋体"/>
                <w:spacing w:val="-12"/>
                <w:sz w:val="15"/>
                <w:szCs w:val="15"/>
              </w:rPr>
              <w:t>节选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sz w:val="15"/>
                <w:szCs w:val="15"/>
              </w:rPr>
              <w:t>)</w:t>
            </w:r>
          </w:p>
          <w:p w14:paraId="63D7FCEF">
            <w:pPr>
              <w:spacing w:line="180" w:lineRule="exact"/>
              <w:ind w:left="67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 xml:space="preserve">def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emis(i,</w:t>
            </w:r>
            <w:r>
              <w:rPr>
                <w:rFonts w:ascii="Courier New" w:hAnsi="Courier New" w:eastAsia="Courier New" w:cs="Courier New"/>
                <w:spacing w:val="1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y):</w:t>
            </w:r>
          </w:p>
          <w:p w14:paraId="435389CA">
            <w:pPr>
              <w:spacing w:line="180" w:lineRule="exact"/>
              <w:ind w:left="337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2"/>
                <w:sz w:val="15"/>
                <w:szCs w:val="15"/>
              </w:rPr>
              <w:t>rc = pa.rho[i] * pa.ka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ppa[y]</w:t>
            </w:r>
          </w:p>
          <w:p w14:paraId="7ACF8C57">
            <w:pPr>
              <w:spacing w:line="180" w:lineRule="exact"/>
              <w:ind w:left="337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b/>
                <w:bCs/>
                <w:spacing w:val="-12"/>
                <w:position w:val="2"/>
                <w:sz w:val="15"/>
                <w:szCs w:val="15"/>
              </w:rPr>
              <w:t>return</w:t>
            </w:r>
            <w:r>
              <w:rPr>
                <w:rFonts w:ascii="Courier New" w:hAnsi="Courier New" w:eastAsia="Courier New" w:cs="Courier New"/>
                <w:b/>
                <w:bCs/>
                <w:spacing w:val="16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(rc *</w:t>
            </w:r>
            <w:r>
              <w:rPr>
                <w:rFonts w:ascii="Courier New" w:hAnsi="Courier New" w:eastAsia="Courier New" w:cs="Courier New"/>
                <w:spacing w:val="15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(dfinal(i, y) - clean(i,</w:t>
            </w:r>
            <w:r>
              <w:rPr>
                <w:rFonts w:ascii="Courier New" w:hAnsi="Courier New" w:eastAsia="Courier New" w:cs="Courier New"/>
                <w:spacing w:val="-6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y))</w:t>
            </w:r>
            <w:r>
              <w:rPr>
                <w:rFonts w:ascii="Courier New" w:hAnsi="Courier New" w:eastAsia="Courier New" w:cs="Courier New"/>
                <w:spacing w:val="-5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spacing w:val="-3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0.045</w:t>
            </w:r>
            <w:r>
              <w:rPr>
                <w:rFonts w:ascii="Courier New" w:hAnsi="Courier New" w:eastAsia="Courier New" w:cs="Courier New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*</w:t>
            </w:r>
            <w:r>
              <w:rPr>
                <w:rFonts w:ascii="Courier New" w:hAnsi="Courier New" w:eastAsia="Courier New" w:cs="Courier New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clean(i</w:t>
            </w:r>
            <w:r>
              <w:rPr>
                <w:rFonts w:ascii="Courier New" w:hAnsi="Courier New" w:eastAsia="Courier New" w:cs="Courier New"/>
                <w:spacing w:val="-13"/>
                <w:position w:val="2"/>
                <w:sz w:val="15"/>
                <w:szCs w:val="15"/>
              </w:rPr>
              <w:t>,</w:t>
            </w:r>
            <w:r>
              <w:rPr>
                <w:rFonts w:ascii="Courier New" w:hAnsi="Courier New" w:eastAsia="Courier New" w:cs="Courier New"/>
                <w:spacing w:val="-6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3"/>
                <w:position w:val="2"/>
                <w:sz w:val="15"/>
                <w:szCs w:val="15"/>
              </w:rPr>
              <w:t>y)</w:t>
            </w:r>
          </w:p>
          <w:p w14:paraId="22872182">
            <w:pPr>
              <w:spacing w:line="180" w:lineRule="exact"/>
              <w:ind w:left="881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- abate(i,</w:t>
            </w:r>
            <w:r>
              <w:rPr>
                <w:rFonts w:ascii="Courier New" w:hAnsi="Courier New" w:eastAsia="Courier New" w:cs="Courier New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y))</w:t>
            </w:r>
          </w:p>
          <w:p w14:paraId="0DCB4420">
            <w:pPr>
              <w:spacing w:line="180" w:lineRule="exact"/>
              <w:ind w:left="62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m.obj =</w:t>
            </w:r>
            <w:r>
              <w:rPr>
                <w:rFonts w:ascii="Courier New" w:hAnsi="Courier New" w:eastAsia="Courier New" w:cs="Courier New"/>
                <w:spacing w:val="16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</w:t>
            </w: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(pa.inv[p]*m.x[p,t] /</w:t>
            </w:r>
            <w:r>
              <w:rPr>
                <w:rFonts w:ascii="Courier New" w:hAnsi="Courier New" w:eastAsia="Courier New" w:cs="Courier New"/>
                <w:spacing w:val="15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 xml:space="preserve">(1+discount)**(t-2026) </w:t>
            </w:r>
            <w:r>
              <w:rPr>
                <w:rFonts w:ascii="Courier New" w:hAnsi="Courier New" w:eastAsia="Courier New" w:cs="Courier New"/>
                <w:b/>
                <w:bCs/>
                <w:spacing w:val="-12"/>
                <w:position w:val="2"/>
                <w:sz w:val="15"/>
                <w:szCs w:val="15"/>
              </w:rPr>
              <w:t xml:space="preserve">for 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p,t)</w:t>
            </w:r>
          </w:p>
          <w:p w14:paraId="47F248A2">
            <w:pPr>
              <w:spacing w:line="190" w:lineRule="exact"/>
              <w:ind w:left="6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 xml:space="preserve">+ 0.2 * </w:t>
            </w: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(m.bex[i,y])</w:t>
            </w:r>
            <w:r>
              <w:rPr>
                <w:rFonts w:ascii="Courier New" w:hAnsi="Courier New" w:eastAsia="Courier New" w:cs="Courier New"/>
                <w:spacing w:val="-4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spacing w:val="5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10.0</w:t>
            </w:r>
            <w:r>
              <w:rPr>
                <w:rFonts w:ascii="Courier New" w:hAnsi="Courier New" w:eastAsia="Courier New" w:cs="Courier New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*</w:t>
            </w:r>
            <w:r>
              <w:rPr>
                <w:rFonts w:ascii="Courier New" w:hAnsi="Courier New" w:eastAsia="Courier New" w:cs="Courier New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spacing w:val="-11"/>
                <w:position w:val="2"/>
                <w:sz w:val="15"/>
                <w:szCs w:val="15"/>
              </w:rPr>
              <w:t>sum</w:t>
            </w:r>
            <w:r>
              <w:rPr>
                <w:rFonts w:ascii="Courier New" w:hAnsi="Courier New" w:eastAsia="Courier New" w:cs="Courier New"/>
                <w:spacing w:val="-11"/>
                <w:position w:val="2"/>
                <w:sz w:val="15"/>
                <w:szCs w:val="15"/>
              </w:rPr>
              <w:t>(d</w:t>
            </w:r>
            <w:r>
              <w:rPr>
                <w:rFonts w:ascii="Courier New" w:hAnsi="Courier New" w:eastAsia="Courier New" w:cs="Courier New"/>
                <w:spacing w:val="-12"/>
                <w:position w:val="2"/>
                <w:sz w:val="15"/>
                <w:szCs w:val="15"/>
              </w:rPr>
              <w:t>final-served))</w:t>
            </w:r>
          </w:p>
        </w:tc>
      </w:tr>
    </w:tbl>
    <w:p w14:paraId="42EB383A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问题四：不确定传导与 </w:t>
      </w:r>
      <w:r>
        <w:rPr>
          <w:rFonts w:hint="default" w:ascii="黑体" w:hAnsi="黑体" w:eastAsia="黑体" w:cs="黑体"/>
          <w:b/>
          <w:bCs/>
          <w:sz w:val="30"/>
          <w:szCs w:val="30"/>
        </w:rPr>
        <w:t>Γ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-对等式</w:t>
      </w:r>
    </w:p>
    <w:p w14:paraId="22F9F562">
      <w:pPr>
        <w:spacing w:line="37" w:lineRule="exact"/>
      </w:pPr>
    </w:p>
    <w:tbl>
      <w:tblPr>
        <w:tblStyle w:val="14"/>
        <w:tblW w:w="9156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6"/>
      </w:tblGrid>
      <w:tr w14:paraId="232B1D7D">
        <w:trPr>
          <w:trHeight w:val="1025" w:hRule="atLeast"/>
        </w:trPr>
        <w:tc>
          <w:tcPr>
            <w:tcW w:w="9156" w:type="dxa"/>
            <w:vAlign w:val="top"/>
          </w:tcPr>
          <w:p w14:paraId="321FEF3A">
            <w:pPr>
              <w:spacing w:before="36" w:line="200" w:lineRule="exact"/>
              <w:ind w:left="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2"/>
                <w:sz w:val="15"/>
                <w:szCs w:val="15"/>
              </w:rPr>
              <w:t xml:space="preserve"># </w:t>
            </w:r>
            <w:r>
              <w:fldChar w:fldCharType="begin"/>
            </w:r>
            <w:r>
              <w:instrText xml:space="preserve"> HYPERLINK "src/q4_robust/main.py"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2"/>
                <w:sz w:val="15"/>
                <w:szCs w:val="15"/>
              </w:rPr>
              <w:t>src/q4_robust/main.py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2"/>
                <w:sz w:val="15"/>
                <w:szCs w:val="15"/>
              </w:rPr>
              <w:fldChar w:fldCharType="end"/>
            </w:r>
            <w:r>
              <w:rPr>
                <w:rFonts w:ascii="Courier New" w:hAnsi="Courier New" w:eastAsia="Courier New" w:cs="Courier New"/>
                <w:i/>
                <w:iCs/>
                <w:spacing w:val="28"/>
                <w:position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2"/>
                <w:sz w:val="15"/>
                <w:szCs w:val="15"/>
              </w:rPr>
              <w:t>(</w:t>
            </w:r>
            <w:r>
              <w:rPr>
                <w:rFonts w:ascii="宋体" w:hAnsi="宋体" w:eastAsia="宋体" w:cs="宋体"/>
                <w:spacing w:val="-12"/>
                <w:position w:val="2"/>
                <w:sz w:val="15"/>
                <w:szCs w:val="15"/>
              </w:rPr>
              <w:t>节选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2"/>
                <w:sz w:val="15"/>
                <w:szCs w:val="15"/>
              </w:rPr>
              <w:t>)</w:t>
            </w:r>
          </w:p>
          <w:p w14:paraId="6808C3FF">
            <w:pPr>
              <w:spacing w:before="26" w:line="193" w:lineRule="auto"/>
              <w:ind w:left="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# W</w:t>
            </w:r>
            <w:r>
              <w:rPr>
                <w:rFonts w:ascii="Courier New" w:hAnsi="Courier New" w:eastAsia="Courier New" w:cs="Courier New"/>
                <w:i/>
                <w:iCs/>
                <w:spacing w:val="-19"/>
                <w:w w:val="86"/>
                <w:sz w:val="15"/>
                <w:szCs w:val="15"/>
              </w:rPr>
              <w:t>_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j</w:t>
            </w:r>
            <w:r>
              <w:rPr>
                <w:rFonts w:ascii="Courier New" w:hAnsi="Courier New" w:eastAsia="Courier New" w:cs="Courier New"/>
                <w:i/>
                <w:iCs/>
                <w:spacing w:val="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=</w:t>
            </w:r>
            <w:r>
              <w:rPr>
                <w:rFonts w:ascii="Courier New" w:hAnsi="Courier New" w:eastAsia="Courier New" w:cs="Courier New"/>
                <w:i/>
                <w:iCs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sum_i</w:t>
            </w:r>
            <w:r>
              <w:rPr>
                <w:rFonts w:ascii="Courier New" w:hAnsi="Courier New" w:eastAsia="Courier New" w:cs="Courier New"/>
                <w:i/>
                <w:iCs/>
                <w:spacing w:val="2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(D_i</w:t>
            </w:r>
            <w:r>
              <w:rPr>
                <w:rFonts w:ascii="Courier New" w:hAnsi="Courier New" w:eastAsia="Courier New" w:cs="Courier New"/>
                <w:i/>
                <w:iCs/>
                <w:spacing w:val="8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- PV</w:t>
            </w:r>
            <w:r>
              <w:rPr>
                <w:rFonts w:ascii="Courier New" w:hAnsi="Courier New" w:eastAsia="Courier New" w:cs="Courier New"/>
                <w:i/>
                <w:iCs/>
                <w:spacing w:val="-19"/>
                <w:w w:val="86"/>
                <w:sz w:val="15"/>
                <w:szCs w:val="15"/>
              </w:rPr>
              <w:t>_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i)</w:t>
            </w:r>
            <w:r>
              <w:rPr>
                <w:rFonts w:ascii="Courier New" w:hAnsi="Courier New" w:eastAsia="Courier New" w:cs="Courier New"/>
                <w:i/>
                <w:iCs/>
                <w:spacing w:val="7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*</w:t>
            </w:r>
            <w:r>
              <w:rPr>
                <w:rFonts w:ascii="Courier New" w:hAnsi="Courier New" w:eastAsia="Courier New" w:cs="Courier New"/>
                <w:i/>
                <w:iCs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0"/>
                <w:w w:val="96"/>
                <w:sz w:val="15"/>
                <w:szCs w:val="15"/>
              </w:rPr>
              <w:t>S_ij</w:t>
            </w:r>
          </w:p>
          <w:p w14:paraId="3A1D0D65">
            <w:pPr>
              <w:spacing w:line="186" w:lineRule="exact"/>
              <w:ind w:left="83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# dE = kappa</w:t>
            </w:r>
            <w:r>
              <w:rPr>
                <w:rFonts w:ascii="Courier New" w:hAnsi="Courier New" w:eastAsia="Courier New" w:cs="Courier New"/>
                <w:i/>
                <w:iCs/>
                <w:spacing w:val="8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*</w:t>
            </w:r>
            <w:r>
              <w:rPr>
                <w:rFonts w:ascii="Courier New" w:hAnsi="Courier New" w:eastAsia="Courier New" w:cs="Courier New"/>
                <w:i/>
                <w:iCs/>
                <w:spacing w:val="-1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sum_j</w:t>
            </w:r>
            <w:r>
              <w:rPr>
                <w:rFonts w:ascii="Courier New" w:hAnsi="Courier New" w:eastAsia="Courier New" w:cs="Courier New"/>
                <w:i/>
                <w:iCs/>
                <w:spacing w:val="7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e</w:t>
            </w:r>
            <w:r>
              <w:rPr>
                <w:rFonts w:ascii="Courier New" w:hAnsi="Courier New" w:eastAsia="Courier New" w:cs="Courier New"/>
                <w:i/>
                <w:iCs/>
                <w:spacing w:val="-71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bar_j</w:t>
            </w:r>
            <w:r>
              <w:rPr>
                <w:rFonts w:ascii="Courier New" w:hAnsi="Courier New" w:eastAsia="Courier New" w:cs="Courier New"/>
                <w:i/>
                <w:iCs/>
                <w:spacing w:val="5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*</w:t>
            </w:r>
            <w:r>
              <w:rPr>
                <w:rFonts w:ascii="Courier New" w:hAnsi="Courier New" w:eastAsia="Courier New" w:cs="Courier New"/>
                <w:i/>
                <w:iCs/>
                <w:spacing w:val="19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(xi_j-1)</w:t>
            </w:r>
            <w:r>
              <w:rPr>
                <w:rFonts w:ascii="Courier New" w:hAnsi="Courier New" w:eastAsia="Courier New" w:cs="Courier New"/>
                <w:i/>
                <w:iCs/>
                <w:spacing w:val="7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*</w:t>
            </w:r>
            <w:r>
              <w:rPr>
                <w:rFonts w:ascii="Courier New" w:hAnsi="Courier New" w:eastAsia="Courier New" w:cs="Courier New"/>
                <w:i/>
                <w:iCs/>
                <w:spacing w:val="3"/>
                <w:position w:val="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1"/>
                <w:w w:val="95"/>
                <w:position w:val="3"/>
                <w:sz w:val="15"/>
                <w:szCs w:val="15"/>
              </w:rPr>
              <w:t>W_j</w:t>
            </w:r>
          </w:p>
          <w:p w14:paraId="3A6317FA">
            <w:pPr>
              <w:spacing w:line="190" w:lineRule="exact"/>
              <w:ind w:left="62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3"/>
                <w:sz w:val="15"/>
                <w:szCs w:val="15"/>
              </w:rPr>
              <w:t xml:space="preserve">m.c_dual.add(m.pi[y] + </w:t>
            </w:r>
            <w:r>
              <w:fldChar w:fldCharType="begin"/>
            </w:r>
            <w:r>
              <w:instrText xml:space="preserve"> HYPERLINK "m.mu"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5"/>
                <w:szCs w:val="15"/>
              </w:rPr>
              <w:t>m.mu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5"/>
                <w:szCs w:val="15"/>
              </w:rPr>
              <w:fldChar w:fldCharType="end"/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5"/>
                <w:szCs w:val="15"/>
              </w:rPr>
              <w:t>[j,y] &gt;= p4.ucoef(j,y) *</w:t>
            </w:r>
            <w:r>
              <w:rPr>
                <w:rFonts w:ascii="Courier New" w:hAnsi="Courier New" w:eastAsia="Courier New" w:cs="Courier New"/>
                <w:spacing w:val="-11"/>
                <w:position w:val="3"/>
                <w:sz w:val="15"/>
                <w:szCs w:val="15"/>
              </w:rPr>
              <w:t xml:space="preserve"> W_expr(m,j,y))</w:t>
            </w:r>
          </w:p>
          <w:p w14:paraId="3084C77E">
            <w:pPr>
              <w:spacing w:before="37" w:line="186" w:lineRule="auto"/>
              <w:ind w:left="109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# cap:</w:t>
            </w:r>
            <w:r>
              <w:rPr>
                <w:rFonts w:ascii="Courier New" w:hAnsi="Courier New" w:eastAsia="Courier New" w:cs="Courier New"/>
                <w:i/>
                <w:iCs/>
                <w:spacing w:val="18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base</w:t>
            </w:r>
            <w:r>
              <w:rPr>
                <w:rFonts w:ascii="Courier New" w:hAnsi="Courier New" w:eastAsia="Courier New" w:cs="Courier New"/>
                <w:i/>
                <w:iCs/>
                <w:spacing w:val="6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+ Gamma*pi</w:t>
            </w:r>
            <w:r>
              <w:rPr>
                <w:rFonts w:ascii="Courier New" w:hAnsi="Courier New" w:eastAsia="Courier New" w:cs="Courier New"/>
                <w:i/>
                <w:iCs/>
                <w:spacing w:val="6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i/>
                <w:iCs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sum mu</w:t>
            </w:r>
            <w:r>
              <w:rPr>
                <w:rFonts w:ascii="Courier New" w:hAnsi="Courier New" w:eastAsia="Courier New" w:cs="Courier New"/>
                <w:i/>
                <w:iCs/>
                <w:spacing w:val="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&lt;=</w:t>
            </w:r>
            <w:r>
              <w:rPr>
                <w:rFonts w:ascii="Courier New" w:hAnsi="Courier New" w:eastAsia="Courier New" w:cs="Courier New"/>
                <w:i/>
                <w:iCs/>
                <w:spacing w:val="1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cap_total</w:t>
            </w:r>
            <w:r>
              <w:rPr>
                <w:rFonts w:ascii="Courier New" w:hAnsi="Courier New" w:eastAsia="Courier New" w:cs="Courier New"/>
                <w:i/>
                <w:iCs/>
                <w:spacing w:val="6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i/>
                <w:iCs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viol</w:t>
            </w:r>
          </w:p>
        </w:tc>
      </w:tr>
    </w:tbl>
    <w:p w14:paraId="0036CEED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Shapley 特征函数</w:t>
      </w:r>
    </w:p>
    <w:p w14:paraId="48882EB4">
      <w:pPr>
        <w:spacing w:line="60" w:lineRule="exact"/>
      </w:pPr>
    </w:p>
    <w:tbl>
      <w:tblPr>
        <w:tblStyle w:val="14"/>
        <w:tblW w:w="9156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6"/>
      </w:tblGrid>
      <w:tr w14:paraId="579E9822">
        <w:trPr>
          <w:trHeight w:val="665" w:hRule="atLeast"/>
        </w:trPr>
        <w:tc>
          <w:tcPr>
            <w:tcW w:w="9156" w:type="dxa"/>
            <w:vAlign w:val="top"/>
          </w:tcPr>
          <w:p w14:paraId="0DF25C0D">
            <w:pPr>
              <w:spacing w:before="36" w:line="200" w:lineRule="exact"/>
              <w:ind w:left="75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1"/>
                <w:sz w:val="15"/>
                <w:szCs w:val="15"/>
              </w:rPr>
              <w:t xml:space="preserve"># </w:t>
            </w:r>
            <w:r>
              <w:fldChar w:fldCharType="begin"/>
            </w:r>
            <w:r>
              <w:instrText xml:space="preserve"> HYPERLINK "src/deepen/main.py" </w:instrText>
            </w:r>
            <w:r>
              <w:fldChar w:fldCharType="separate"/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1"/>
                <w:sz w:val="15"/>
                <w:szCs w:val="15"/>
              </w:rPr>
              <w:t>src/deepen/main.py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1"/>
                <w:sz w:val="15"/>
                <w:szCs w:val="15"/>
              </w:rPr>
              <w:fldChar w:fldCharType="end"/>
            </w:r>
            <w:r>
              <w:rPr>
                <w:rFonts w:ascii="Courier New" w:hAnsi="Courier New" w:eastAsia="Courier New" w:cs="Courier New"/>
                <w:i/>
                <w:iCs/>
                <w:spacing w:val="26"/>
                <w:position w:val="1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1"/>
                <w:sz w:val="15"/>
                <w:szCs w:val="15"/>
              </w:rPr>
              <w:t>(</w:t>
            </w:r>
            <w:r>
              <w:rPr>
                <w:rFonts w:ascii="宋体" w:hAnsi="宋体" w:eastAsia="宋体" w:cs="宋体"/>
                <w:spacing w:val="-12"/>
                <w:position w:val="1"/>
                <w:sz w:val="15"/>
                <w:szCs w:val="15"/>
              </w:rPr>
              <w:t>节选</w:t>
            </w:r>
            <w:r>
              <w:rPr>
                <w:rFonts w:ascii="Courier New" w:hAnsi="Courier New" w:eastAsia="Courier New" w:cs="Courier New"/>
                <w:i/>
                <w:iCs/>
                <w:spacing w:val="-12"/>
                <w:position w:val="1"/>
                <w:sz w:val="15"/>
                <w:szCs w:val="15"/>
              </w:rPr>
              <w:t>)</w:t>
            </w:r>
          </w:p>
          <w:p w14:paraId="4279A88B">
            <w:pPr>
              <w:spacing w:before="26" w:line="203" w:lineRule="auto"/>
              <w:ind w:left="76"/>
              <w:rPr>
                <w:rFonts w:ascii="Courier New" w:hAnsi="Courier New" w:eastAsia="Courier New" w:cs="Courier New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# v(S) = sum_{i</w:t>
            </w:r>
            <w:r>
              <w:rPr>
                <w:rFonts w:ascii="Courier New" w:hAnsi="Courier New" w:eastAsia="Courier New" w:cs="Courier New"/>
                <w:i/>
                <w:iCs/>
                <w:spacing w:val="15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in</w:t>
            </w:r>
            <w:r>
              <w:rPr>
                <w:rFonts w:ascii="Courier New" w:hAnsi="Courier New" w:eastAsia="Courier New" w:cs="Courier New"/>
                <w:i/>
                <w:iCs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S}</w:t>
            </w:r>
            <w:r>
              <w:rPr>
                <w:rFonts w:ascii="Courier New" w:hAnsi="Courier New" w:eastAsia="Courier New" w:cs="Courier New"/>
                <w:i/>
                <w:iCs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P+_i</w:t>
            </w:r>
            <w:r>
              <w:rPr>
                <w:rFonts w:ascii="Courier New" w:hAnsi="Courier New" w:eastAsia="Courier New" w:cs="Courier New"/>
                <w:i/>
                <w:iCs/>
                <w:spacing w:val="6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+</w:t>
            </w:r>
            <w:r>
              <w:rPr>
                <w:rFonts w:ascii="Courier New" w:hAnsi="Courier New" w:eastAsia="Courier New" w:cs="Courier New"/>
                <w:i/>
                <w:iCs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sum_</w:t>
            </w:r>
            <w:r>
              <w:rPr>
                <w:rFonts w:ascii="Courier New" w:hAnsi="Courier New" w:eastAsia="Courier New" w:cs="Courier New"/>
                <w:i/>
                <w:iCs/>
                <w:spacing w:val="-5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{j</w:t>
            </w:r>
            <w:r>
              <w:rPr>
                <w:rFonts w:ascii="Courier New" w:hAnsi="Courier New" w:eastAsia="Courier New" w:cs="Courier New"/>
                <w:i/>
                <w:iCs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notin</w:t>
            </w:r>
            <w:r>
              <w:rPr>
                <w:rFonts w:ascii="Courier New" w:hAnsi="Courier New" w:eastAsia="Courier New" w:cs="Courier New"/>
                <w:i/>
                <w:iCs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S,</w:t>
            </w:r>
            <w:r>
              <w:rPr>
                <w:rFonts w:ascii="Courier New" w:hAnsi="Courier New" w:eastAsia="Courier New" w:cs="Courier New"/>
                <w:i/>
                <w:iCs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i</w:t>
            </w:r>
            <w:r>
              <w:rPr>
                <w:rFonts w:ascii="Courier New" w:hAnsi="Courier New" w:eastAsia="Courier New" w:cs="Courier New"/>
                <w:i/>
                <w:iCs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in</w:t>
            </w:r>
            <w:r>
              <w:rPr>
                <w:rFonts w:ascii="Courier New" w:hAnsi="Courier New" w:eastAsia="Courier New" w:cs="Courier New"/>
                <w:i/>
                <w:iCs/>
                <w:spacing w:val="-7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S}</w:t>
            </w:r>
            <w:r>
              <w:rPr>
                <w:rFonts w:ascii="Courier New" w:hAnsi="Courier New" w:eastAsia="Courier New" w:cs="Courier New"/>
                <w:i/>
                <w:iCs/>
                <w:spacing w:val="1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15"/>
                <w:sz w:val="15"/>
                <w:szCs w:val="15"/>
              </w:rPr>
              <w:t>CF[j,i]</w:t>
            </w:r>
          </w:p>
          <w:p w14:paraId="7F8AAD49">
            <w:pPr>
              <w:spacing w:before="19" w:line="219" w:lineRule="auto"/>
              <w:ind w:left="75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Courier New" w:hAnsi="Courier New" w:eastAsia="Courier New" w:cs="Courier New"/>
                <w:i/>
                <w:iCs/>
                <w:spacing w:val="-7"/>
                <w:sz w:val="15"/>
                <w:szCs w:val="15"/>
              </w:rPr>
              <w:t xml:space="preserve"># 8 </w:t>
            </w:r>
            <w:r>
              <w:rPr>
                <w:rFonts w:ascii="宋体" w:hAnsi="宋体" w:eastAsia="宋体" w:cs="宋体"/>
                <w:spacing w:val="-7"/>
                <w:sz w:val="15"/>
                <w:szCs w:val="15"/>
              </w:rPr>
              <w:t>区域精确枚举</w:t>
            </w:r>
            <w:r>
              <w:rPr>
                <w:rFonts w:ascii="宋体" w:hAnsi="宋体" w:eastAsia="宋体" w:cs="宋体"/>
                <w:spacing w:val="23"/>
                <w:sz w:val="15"/>
                <w:szCs w:val="15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spacing w:val="-7"/>
                <w:sz w:val="15"/>
                <w:szCs w:val="15"/>
              </w:rPr>
              <w:t xml:space="preserve">256 </w:t>
            </w:r>
            <w:r>
              <w:rPr>
                <w:rFonts w:ascii="宋体" w:hAnsi="宋体" w:eastAsia="宋体" w:cs="宋体"/>
                <w:spacing w:val="-7"/>
                <w:sz w:val="15"/>
                <w:szCs w:val="15"/>
              </w:rPr>
              <w:t>个联盟</w:t>
            </w:r>
          </w:p>
        </w:tc>
      </w:tr>
    </w:tbl>
    <w:p w14:paraId="44531AA3">
      <w:pPr>
        <w:rPr>
          <w:rFonts w:ascii="Arial"/>
          <w:sz w:val="21"/>
        </w:rPr>
      </w:pPr>
    </w:p>
    <w:sectPr>
      <w:footerReference r:id="rId6" w:type="default"/>
      <w:pgSz w:w="11906" w:h="16838"/>
      <w:pgMar w:top="1385" w:right="1372" w:bottom="1008" w:left="1372" w:header="0" w:footer="79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8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MS Gothic">
    <w:altName w:val="苹方-简"/>
    <w:panose1 w:val="020B0609070205080204"/>
    <w:charset w:val="86"/>
    <w:family w:val="auto"/>
    <w:pitch w:val="default"/>
    <w:sig w:usb0="00000000" w:usb1="00000000" w:usb2="08000012" w:usb3="00000000" w:csb0="4002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FandolSong-Regular-Identity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XGyreTermes-Regular-Identity-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1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06B86">
    <w:pPr>
      <w:spacing w:line="182" w:lineRule="auto"/>
      <w:ind w:left="0" w:leftChars="0" w:firstLine="0" w:firstLineChars="0"/>
      <w:jc w:val="center"/>
      <w:rPr>
        <w:rFonts w:hint="eastAsia" w:ascii="Times New Roman" w:hAnsi="Times New Roman" w:eastAsia="宋体" w:cs="Times New Roman"/>
        <w:sz w:val="24"/>
        <w:szCs w:val="24"/>
        <w:lang w:val="en-US" w:eastAsia="zh-C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292F2">
                          <w:pPr>
                            <w:pStyle w:val="7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E292F2">
                    <w:pPr>
                      <w:pStyle w:val="7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AEE6A">
    <w:pPr>
      <w:spacing w:line="181" w:lineRule="auto"/>
      <w:ind w:left="4487"/>
      <w:rPr>
        <w:rFonts w:ascii="Times New Roman" w:hAnsi="Times New Roman" w:eastAsia="Times New Roman" w:cs="Times New Roman"/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95D9B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A95D9B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BFA3A"/>
    <w:multiLevelType w:val="singleLevel"/>
    <w:tmpl w:val="928BFA3A"/>
    <w:lvl w:ilvl="0" w:tentative="0">
      <w:start w:val="1"/>
      <w:numFmt w:val="decimal"/>
      <w:lvlText w:val="[%1] 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99BFFBC4"/>
    <w:multiLevelType w:val="multilevel"/>
    <w:tmpl w:val="99BFFBC4"/>
    <w:lvl w:ilvl="0" w:tentative="0">
      <w:start w:val="3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99D8D13F"/>
    <w:multiLevelType w:val="multilevel"/>
    <w:tmpl w:val="99D8D13F"/>
    <w:lvl w:ilvl="0" w:tentative="0">
      <w:start w:val="4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C9B0E18A"/>
    <w:multiLevelType w:val="multilevel"/>
    <w:tmpl w:val="C9B0E18A"/>
    <w:lvl w:ilvl="0" w:tentative="0">
      <w:start w:val="6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D99C4830"/>
    <w:multiLevelType w:val="multilevel"/>
    <w:tmpl w:val="D99C4830"/>
    <w:lvl w:ilvl="0" w:tentative="0">
      <w:start w:val="5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2E01CE2B"/>
    <w:multiLevelType w:val="singleLevel"/>
    <w:tmpl w:val="2E01CE2B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6">
    <w:nsid w:val="4C71DD68"/>
    <w:multiLevelType w:val="singleLevel"/>
    <w:tmpl w:val="4C71DD68"/>
    <w:lvl w:ilvl="0" w:tentative="0">
      <w:start w:val="2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7">
    <w:nsid w:val="5264BE66"/>
    <w:multiLevelType w:val="singleLevel"/>
    <w:tmpl w:val="5264BE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6AB528B5"/>
    <w:multiLevelType w:val="multilevel"/>
    <w:tmpl w:val="6AB528B5"/>
    <w:lvl w:ilvl="0" w:tentative="0">
      <w:start w:val="7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9">
    <w:nsid w:val="788F3106"/>
    <w:multiLevelType w:val="singleLevel"/>
    <w:tmpl w:val="788F310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172A27"/>
    <w:rsid w:val="03D746CC"/>
    <w:rsid w:val="0CC5133F"/>
    <w:rsid w:val="0E3012DD"/>
    <w:rsid w:val="1AAE3F81"/>
    <w:rsid w:val="1B48218D"/>
    <w:rsid w:val="1C372634"/>
    <w:rsid w:val="1FFB5BDD"/>
    <w:rsid w:val="222A2F2F"/>
    <w:rsid w:val="243E0123"/>
    <w:rsid w:val="28D16372"/>
    <w:rsid w:val="3D5D328D"/>
    <w:rsid w:val="458B2E93"/>
    <w:rsid w:val="4FDFE936"/>
    <w:rsid w:val="50E21CB3"/>
    <w:rsid w:val="531E6325"/>
    <w:rsid w:val="59A6751A"/>
    <w:rsid w:val="5F9233D6"/>
    <w:rsid w:val="65F279E4"/>
    <w:rsid w:val="672136DF"/>
    <w:rsid w:val="6A1B24B7"/>
    <w:rsid w:val="6B761E32"/>
    <w:rsid w:val="6FFF3782"/>
    <w:rsid w:val="7BDA6469"/>
    <w:rsid w:val="7E7D6C65"/>
    <w:rsid w:val="CFFFDCEB"/>
    <w:rsid w:val="DFFF390E"/>
    <w:rsid w:val="FDBEEA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 w:val="0"/>
      <w:wordWrap/>
      <w:overflowPunct/>
      <w:topLinePunct w:val="0"/>
      <w:autoSpaceDE w:val="0"/>
      <w:autoSpaceDN w:val="0"/>
      <w:bidi w:val="0"/>
      <w:adjustRightInd w:val="0"/>
      <w:snapToGrid w:val="0"/>
      <w:spacing w:before="25" w:beforeLines="25" w:after="25" w:afterLines="25" w:line="240" w:lineRule="auto"/>
      <w:ind w:firstLine="9" w:firstLineChars="200"/>
      <w:jc w:val="left"/>
      <w:textAlignment w:val="baseline"/>
    </w:pPr>
    <w:rPr>
      <w:rFonts w:ascii="Times New Roman" w:hAnsi="Times New Roman" w:eastAsia="宋体" w:cs="宋体"/>
      <w:snapToGrid w:val="0"/>
      <w:color w:val="000000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100" w:beforeLines="100" w:beforeAutospacing="0" w:after="100" w:afterLines="100" w:afterAutospacing="0" w:line="240" w:lineRule="auto"/>
      <w:ind w:firstLine="0" w:firstLineChars="0"/>
      <w:outlineLvl w:val="0"/>
    </w:pPr>
    <w:rPr>
      <w:rFonts w:eastAsia="黑体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 w:val="0"/>
      <w:keepLines/>
      <w:spacing w:before="100" w:beforeLines="100" w:beforeAutospacing="0" w:after="100" w:afterLines="100" w:afterAutospacing="0" w:line="240" w:lineRule="auto"/>
      <w:ind w:firstLine="0" w:firstLineChars="0"/>
      <w:outlineLvl w:val="1"/>
    </w:pPr>
    <w:rPr>
      <w:rFonts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="100" w:afterLines="100" w:afterAutospacing="0" w:line="240" w:lineRule="auto"/>
      <w:ind w:firstLine="0" w:firstLineChars="0"/>
      <w:outlineLvl w:val="2"/>
    </w:pPr>
    <w:rPr>
      <w:rFonts w:eastAsia="黑体"/>
      <w:b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楷体"/>
      <w:sz w:val="22"/>
    </w:rPr>
  </w:style>
  <w:style w:type="paragraph" w:styleId="6">
    <w:name w:val="Body Text"/>
    <w:basedOn w:val="1"/>
    <w:link w:val="16"/>
    <w:qFormat/>
    <w:uiPriority w:val="0"/>
    <w:pPr>
      <w:spacing w:before="25"/>
    </w:pPr>
    <w:rPr>
      <w:rFonts w:ascii="Times New Roman" w:hAnsi="Times New Roman" w:eastAsia="宋体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6">
    <w:name w:val="正文文本 Char"/>
    <w:link w:val="6"/>
    <w:qFormat/>
    <w:uiPriority w:val="0"/>
    <w:rPr>
      <w:rFonts w:ascii="Times New Roman" w:hAnsi="Times New Roman" w:eastAsia="宋体"/>
    </w:rPr>
  </w:style>
  <w:style w:type="character" w:customStyle="1" w:styleId="17">
    <w:name w:val="标题 1 Char"/>
    <w:link w:val="2"/>
    <w:qFormat/>
    <w:uiPriority w:val="0"/>
    <w:rPr>
      <w:rFonts w:eastAsia="黑体"/>
      <w:b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82ecacf5-9ddd-495d-9405-4ba3ff9400bd</errorID>
      <errorWord>976.2 百</errorWord>
      <group>L1_Knowledge</group>
      <groupName>知识性问题</groupName>
      <ability>L2_Knowledge</ability>
      <abilityName>其他知识</abilityName>
      <candidateList>
        <item>97620</item>
      </candidateList>
      <explain>根据GB/T 15835-2011规定，只有“万”、“亿可以与阿拉伯数字混用，例如：“4万”、“4亿”、“4万亿”等。其他情况应统一使用阿拉伯数字。</explain>
      <paraID>456C1FC4</paraID>
      <start>405</start>
      <end>412</end>
      <status>unmodified</status>
      <modifiedWord/>
      <trackRevisions>false</trackRevisions>
    </reviewItem>
    <reviewItem>
      <errorID>2bc8ef12-3d29-4895-a628-b7eae6000ed1</errorID>
      <errorWord>985.5 百</errorWord>
      <group>L1_Knowledge</group>
      <groupName>知识性问题</groupName>
      <ability>L2_Knowledge</ability>
      <abilityName>其他知识</abilityName>
      <candidateList>
        <item>98550</item>
      </candidateList>
      <explain>根据GB/T 15835-2011规定，只有“万”、“亿可以与阿拉伯数字混用，例如：“4万”、“4亿”、“4万亿”等。其他情况应统一使用阿拉伯数字。</explain>
      <paraID>456C1FC4</paraID>
      <start>432</start>
      <end>439</end>
      <status>ignored</status>
      <modifiedWord/>
      <trackRevisions>false</trackRevisions>
    </reviewItem>
    <reviewItem>
      <errorID>e0def284-7172-4d43-9385-c0651795422e</errorID>
      <errorWord>4848.8 百</errorWord>
      <group>L1_Knowledge</group>
      <groupName>知识性问题</groupName>
      <ability>L2_Knowledge</ability>
      <abilityName>其他知识</abilityName>
      <candidateList>
        <item>484880</item>
      </candidateList>
      <explain>根据GB/T 15835-2011规定，只有“万”、“亿可以与阿拉伯数字混用，例如：“4万”、“4亿”、“4万亿”等。其他情况应统一使用阿拉伯数字。</explain>
      <paraID>456C1FC4</paraID>
      <start>565</start>
      <end>573</end>
      <status>unmodified</status>
      <modifiedWord/>
      <trackRevisions>false</trackRevisions>
    </reviewItem>
    <reviewItem>
      <errorID>95cd72d0-702e-44ad-89a5-182d3d07b241</errorID>
      <errorWord>动</errorWord>
      <group>L1_Word</group>
      <groupName>字词问题</groupName>
      <ability>L2_Typo</ability>
      <abilityName>字词错误</abilityName>
      <candidateList>
        <item>动减</item>
      </candidateList>
      <explain/>
      <paraID>456C1FC4</paraID>
      <start>613</start>
      <end>614</end>
      <status>unmodified</status>
      <modifiedWord/>
      <trackRevisions>false</trackRevisions>
    </reviewItem>
    <reviewItem>
      <errorID>fc910f59-6448-4963-b574-1c13d3c56410</errorID>
      <errorWord>5614.0 百</errorWord>
      <group>L1_Knowledge</group>
      <groupName>知识性问题</groupName>
      <ability>L2_Knowledge</ability>
      <abilityName>其他知识</abilityName>
      <candidateList>
        <item>561400</item>
      </candidateList>
      <explain>根据GB/T 15835-2011规定，只有“万”、“亿可以与阿拉伯数字混用，例如：“4万”、“4亿”、“4万亿”等。其他情况应统一使用阿拉伯数字。</explain>
      <paraID>456C1FC4</paraID>
      <start>646</start>
      <end>654</end>
      <status>unmodified</status>
      <modifiedWord/>
      <trackRevisions>false</trackRevisions>
    </reviewItem>
    <reviewItem>
      <errorID>e8872042-d612-4605-b374-72b4eb1935e6</errorID>
      <errorWord>985.5 百</errorWord>
      <group>L1_Knowledge</group>
      <groupName>知识性问题</groupName>
      <ability>L2_Knowledge</ability>
      <abilityName>其他知识</abilityName>
      <candidateList>
        <item>98550</item>
      </candidateList>
      <explain>根据GB/T 15835-2011规定，只有“万”、“亿可以与阿拉伯数字混用，例如：“4万”、“4亿”、“4万亿”等。其他情况应统一使用阿拉伯数字。</explain>
      <paraID>456C1FC4</paraID>
      <start>676</start>
      <end>683</end>
      <status>unmodified</status>
      <modifiedWord/>
      <trackRevisions>false</trackRevisions>
    </reviewItem>
    <reviewItem>
      <errorID>b4ecb19e-1d17-4762-b741-16a27013ab32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77A619CE</paraID>
      <start>48</start>
      <end>49</end>
      <status>unmodified</status>
      <modifiedWord/>
      <trackRevisions>false</trackRevisions>
    </reviewItem>
    <reviewItem>
      <errorID>8a042a33-6507-4b14-8802-04c8e9fda4f7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77A619CE</paraID>
      <start>78</start>
      <end>79</end>
      <status>unmodified</status>
      <modifiedWord/>
      <trackRevisions>false</trackRevisions>
    </reviewItem>
    <reviewItem>
      <errorID>3938a556-9947-4609-a0f6-a5709daca943</errorID>
      <errorWord>/，</errorWord>
      <group>L1_Punc</group>
      <groupName>标点问题</groupName>
      <ability>L2_Punc_CN</ability>
      <abilityName>标点符号问题</abilityName>
      <candidateList>
        <item>/</item>
      </candidateList>
      <explain/>
      <paraID>5BCC8CC8</paraID>
      <start>173</start>
      <end>175</end>
      <status>unmodified</status>
      <modifiedWord/>
      <trackRevisions>false</trackRevisions>
    </reviewItem>
    <reviewItem>
      <errorID>f9360f70-9ca2-41fa-bfe3-0e44803a9edb</errorID>
      <errorWord>显式</errorWord>
      <group>L1_Word</group>
      <groupName>字词问题</groupName>
      <ability>L2_Typo</ability>
      <abilityName>字词错误</abilityName>
      <candidateList>
        <item>显示</item>
      </candidateList>
      <explain/>
      <paraID>73F7FF12</paraID>
      <start>11</start>
      <end>13</end>
      <status>unmodified</status>
      <modifiedWord/>
      <trackRevisions>false</trackRevisions>
    </reviewItem>
    <reviewItem>
      <errorID>79989e41-9809-4375-a40e-56fa5603f5b9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68D6BE6D</paraID>
      <start>107</start>
      <end>108</end>
      <status>unmodified</status>
      <modifiedWord/>
      <trackRevisions>false</trackRevisions>
    </reviewItem>
    <reviewItem>
      <errorID>2bbced85-3c21-410f-92c8-4ec7c3523ae1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68D6BE6D</paraID>
      <start>137</start>
      <end>138</end>
      <status>unmodified</status>
      <modifiedWord/>
      <trackRevisions>false</trackRevisions>
    </reviewItem>
    <reviewItem>
      <errorID>95ecd68e-1088-48ba-a4d9-254a58808a1b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EE313AB</paraID>
      <start>5</start>
      <end>6</end>
      <status>unmodified</status>
      <modifiedWord/>
      <trackRevisions>false</trackRevisions>
    </reviewItem>
    <reviewItem>
      <errorID>fdbffadc-4a75-4555-be39-32c38a5bb5da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EE313AB</paraID>
      <start>7</start>
      <end>8</end>
      <status>unmodified</status>
      <modifiedWord/>
      <trackRevisions>false</trackRevisions>
    </reviewItem>
    <reviewItem>
      <errorID>ea1aef8e-2fb3-4d99-8f07-b1d48ba5ba14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35A7183D</paraID>
      <start>46</start>
      <end>47</end>
      <status>unmodified</status>
      <modifiedWord/>
      <trackRevisions>false</trackRevisions>
    </reviewItem>
    <reviewItem>
      <errorID>ba5c3196-26ad-4fa7-9fd7-883629e179c0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35A7183D</paraID>
      <start>77</start>
      <end>78</end>
      <status>unmodified</status>
      <modifiedWord/>
      <trackRevisions>false</trackRevisions>
    </reviewItem>
    <reviewItem>
      <errorID>f53a111a-3fa0-4256-8c11-a80aa50488c8</errorID>
      <errorWord>共担</errorWord>
      <group>L1_Word</group>
      <groupName>字词问题</groupName>
      <ability>L2_Typo</ability>
      <abilityName>字词错误</abilityName>
      <candidateList>
        <item>共轭</item>
      </candidateList>
      <explain/>
      <paraID>4E7D6A14</paraID>
      <start>134</start>
      <end>136</end>
      <status>unmodified</status>
      <modifiedWord/>
      <trackRevisions>false</trackRevisions>
    </reviewItem>
    <reviewItem>
      <errorID>4d3ad335-0293-4c24-8b8b-16ff0babe0d8</errorID>
      <errorWord>0.2 百</errorWord>
      <group>L1_Knowledge</group>
      <groupName>知识性问题</groupName>
      <ability>L2_Knowledge</ability>
      <abilityName>其他知识</abilityName>
      <candidateList>
        <item>20</item>
      </candidateList>
      <explain>根据GB/T 15835-2011规定，只有“万”、“亿可以与阿拉伯数字混用，例如：“4万”、“4亿”、“4万亿”等。其他情况应统一使用阿拉伯数字。</explain>
      <paraID>7B211B3F</paraID>
      <start>108</start>
      <end>113</end>
      <status>unmodified</status>
      <modifiedWord/>
      <trackRevisions>false</trackRevisions>
    </reviewItem>
    <reviewItem>
      <errorID>4ff92398-60ef-4460-b939-13d2da528757</errorID>
      <errorWord>,)</errorWord>
      <group>L1_Punc</group>
      <groupName>标点问题</groupName>
      <ability>L2_Punc_CN</ability>
      <abilityName>标点符号问题</abilityName>
      <candidateList>
        <item>)</item>
      </candidateList>
      <explain/>
      <paraID>71F57C2E</paraID>
      <start>64</start>
      <end>106</end>
      <status>unmodified</status>
      <modifiedWord/>
      <trackRevisions>false</trackRevisions>
    </reviewItem>
    <reviewItem>
      <errorID>43e16ff1-5719-431e-a7a7-cdc498234e32</errorID>
      <errorWord>976.2 百</errorWord>
      <group>L1_Knowledge</group>
      <groupName>知识性问题</groupName>
      <ability>L2_Knowledge</ability>
      <abilityName>其他知识</abilityName>
      <candidateList>
        <item>97620</item>
      </candidateList>
      <explain>根据GB/T 15835-2011规定，只有“万”、“亿可以与阿拉伯数字混用，例如：“4万”、“4亿”、“4万亿”等。其他情况应统一使用阿拉伯数字。</explain>
      <paraID>1E357138</paraID>
      <start>68</start>
      <end>75</end>
      <status>unmodified</status>
      <modifiedWord/>
      <trackRevisions>false</trackRevisions>
    </reviewItem>
    <reviewItem>
      <errorID>24340763-2abb-48bd-9be8-d543b6026099</errorID>
      <errorWord>985.5 百</errorWord>
      <group>L1_Knowledge</group>
      <groupName>知识性问题</groupName>
      <ability>L2_Knowledge</ability>
      <abilityName>其他知识</abilityName>
      <candidateList>
        <item>98550</item>
      </candidateList>
      <explain>根据GB/T 15835-2011规定，只有“万”、“亿可以与阿拉伯数字混用，例如：“4万”、“4亿”、“4万亿”等。其他情况应统一使用阿拉伯数字。</explain>
      <paraID>1E357138</paraID>
      <start>136</start>
      <end>143</end>
      <status>unmodified</status>
      <modifiedWord/>
      <trackRevisions>false</trackRevisions>
    </reviewItem>
    <reviewItem>
      <errorID>089981c1-df57-4f48-83e4-7dbb55f4a233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1E357138</paraID>
      <start>244</start>
      <end>245</end>
      <status>unmodified</status>
      <modifiedWord/>
      <trackRevisions>false</trackRevisions>
    </reviewItem>
    <reviewItem>
      <errorID>11478669-0449-4191-8cd4-4154b00c310f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1E357138</paraID>
      <start>275</start>
      <end>276</end>
      <status>unmodified</status>
      <modifiedWord/>
      <trackRevisions>false</trackRevisions>
    </reviewItem>
    <reviewItem>
      <errorID>07ea84bf-05d5-4f8b-911e-237ad1ba70aa</errorID>
      <errorWord>3.162 百</errorWord>
      <group>L1_Knowledge</group>
      <groupName>知识性问题</groupName>
      <ability>L2_Knowledge</ability>
      <abilityName>其他知识</abilityName>
      <candidateList>
        <item>316.2</item>
      </candidateList>
      <explain>根据GB/T 15835-2011规定，只有“万”、“亿可以与阿拉伯数字混用，例如：“4万”、“4亿”、“4万亿”等。其他情况应统一使用阿拉伯数字。</explain>
      <paraID>1E357138</paraID>
      <start>390</start>
      <end>397</end>
      <status>unmodified</status>
      <modifiedWord/>
      <trackRevisions>false</trackRevisions>
    </reviewItem>
    <reviewItem>
      <errorID>212aa9af-025f-479d-9fa0-8a90ef1e866b</errorID>
      <errorWord>1013 百</errorWord>
      <group>L1_Knowledge</group>
      <groupName>知识性问题</groupName>
      <ability>L2_Knowledge</ability>
      <abilityName>其他知识</abilityName>
      <candidateList>
        <item>101300</item>
      </candidateList>
      <explain>根据GB/T 15835-2011规定，只有“万”、“亿可以与阿拉伯数字混用，例如：“4万”、“4亿”、“4万亿”等。其他情况应统一使用阿拉伯数字。</explain>
      <paraID>2116D967</paraID>
      <start>97</start>
      <end>103</end>
      <status>unmodified</status>
      <modifiedWord/>
      <trackRevisions>false</trackRevisions>
    </reviewItem>
    <reviewItem>
      <errorID>bcace32b-db79-4bc3-a178-5c8671db10ff</errorID>
      <errorWord>越限</errorWord>
      <group>L1_Word</group>
      <groupName>字词问题</groupName>
      <ability>L2_Typo</ability>
      <abilityName>字词错误</abilityName>
      <candidateList>
        <item>年限</item>
      </candidateList>
      <explain/>
      <paraID>1F72351F</paraID>
      <start>3</start>
      <end>5</end>
      <status>unmodified</status>
      <modifiedWord/>
      <trackRevisions>false</trackRevisions>
    </reviewItem>
    <reviewItem>
      <errorID>d20cf7bb-9066-4395-b75f-5ddf2316445a</errorID>
      <errorWord>,)</errorWord>
      <group>L1_Punc</group>
      <groupName>标点问题</groupName>
      <ability>L2_Punc_CN</ability>
      <abilityName>标点符号问题</abilityName>
      <candidateList>
        <item>)</item>
      </candidateList>
      <explain/>
      <paraID>3D009CA7</paraID>
      <start>54</start>
      <end>96</end>
      <status>unmodified</status>
      <modifiedWord/>
      <trackRevisions>false</trackRevisions>
    </reviewItem>
    <reviewItem>
      <errorID>ffa7f86e-dfe5-4c2b-942e-6c2c546d1469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2B4280D6</paraID>
      <start>13</start>
      <end>14</end>
      <status>unmodified</status>
      <modifiedWord/>
      <trackRevisions>false</trackRevisions>
    </reviewItem>
    <reviewItem>
      <errorID>2ed9ce9b-e207-47bf-b20d-b8c90614cd0f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46202BB4</paraID>
      <start>48</start>
      <end>49</end>
      <status>unmodified</status>
      <modifiedWord/>
      <trackRevisions>false</trackRevisions>
    </reviewItem>
    <reviewItem>
      <errorID>3007a6a0-f769-4edd-b21a-8eee5934f414</errorID>
      <errorWord>3863.3 百</errorWord>
      <group>L1_Knowledge</group>
      <groupName>知识性问题</groupName>
      <ability>L2_Knowledge</ability>
      <abilityName>其他知识</abilityName>
      <candidateList>
        <item>386330</item>
      </candidateList>
      <explain>根据GB/T 15835-2011规定，只有“万”、“亿可以与阿拉伯数字混用，例如：“4万”、“4亿”、“4万亿”等。其他情况应统一使用阿拉伯数字。</explain>
      <paraID>59DA46BA</paraID>
      <start>45</start>
      <end>53</end>
      <status>unmodified</status>
      <modifiedWord/>
      <trackRevisions>false</trackRevisions>
    </reviewItem>
    <reviewItem>
      <errorID>c628f904-a0d8-4045-b88e-fe79ccb73b39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613FE1B4</paraID>
      <start>4</start>
      <end>5</end>
      <status>unmodified</status>
      <modifiedWord/>
      <trackRevisions>false</trackRevisions>
    </reviewItem>
    <reviewItem>
      <errorID>21879d6e-fb5b-4ad0-b974-8d0778f7935b</errorID>
      <errorWord>与</errorWord>
      <group>L1_Word</group>
      <groupName>字词问题</groupName>
      <ability>L2_Typo</ability>
      <abilityName>字词错误</abilityName>
      <candidateList>
        <item>于</item>
      </candidateList>
      <explain>存在发音相同字词的误用。</explain>
      <paraID>67FF2603</paraID>
      <start>25</start>
      <end>26</end>
      <status>unmodified</status>
      <modifiedWord/>
      <trackRevisions>false</trackRevisions>
    </reviewItem>
    <reviewItem>
      <errorID>c99068d5-0883-47ed-b0db-9b6997c3a286</errorID>
      <errorWord>5614.0 百</errorWord>
      <group>L1_Knowledge</group>
      <groupName>知识性问题</groupName>
      <ability>L2_Knowledge</ability>
      <abilityName>其他知识</abilityName>
      <candidateList>
        <item>561400</item>
      </candidateList>
      <explain>根据GB/T 15835-2011规定，只有“万”、“亿可以与阿拉伯数字混用，例如：“4万”、“4亿”、“4万亿”等。其他情况应统一使用阿拉伯数字。</explain>
      <paraID>7BBC8A3A</paraID>
      <start>182</start>
      <end>190</end>
      <status>unmodified</status>
      <modifiedWord/>
      <trackRevisions>false</trackRevisions>
    </reviewItem>
    <reviewItem>
      <errorID>23ad412d-3f9e-4c8a-96e7-29a3f0e4c857</errorID>
      <errorWord>985.5 百</errorWord>
      <group>L1_Knowledge</group>
      <groupName>知识性问题</groupName>
      <ability>L2_Knowledge</ability>
      <abilityName>其他知识</abilityName>
      <candidateList>
        <item>98550</item>
      </candidateList>
      <explain>根据GB/T 15835-2011规定，只有“万”、“亿可以与阿拉伯数字混用，例如：“4万”、“4亿”、“4万亿”等。其他情况应统一使用阿拉伯数字。</explain>
      <paraID>6517C562</paraID>
      <start>11</start>
      <end>18</end>
      <status>unmodified</status>
      <modifiedWord/>
      <trackRevisions>false</trackRevisions>
    </reviewItem>
    <reviewItem>
      <errorID>86bdc8cd-c390-49da-8cc2-d3367e0544d7</errorID>
      <errorWord>3.16 百</errorWord>
      <group>L1_Knowledge</group>
      <groupName>知识性问题</groupName>
      <ability>L2_Knowledge</ability>
      <abilityName>其他知识</abilityName>
      <candidateList>
        <item>316</item>
      </candidateList>
      <explain>根据GB/T 15835-2011规定，只有“万”、“亿可以与阿拉伯数字混用，例如：“4万”、“4亿”、“4万亿”等。其他情况应统一使用阿拉伯数字。</explain>
      <paraID>6517C562</paraID>
      <start>62</start>
      <end>68</end>
      <status>unmodified</status>
      <modifiedWord/>
      <trackRevisions>false</trackRevisions>
    </reviewItem>
    <reviewItem>
      <errorID>80d1f63b-3f31-4d1a-980c-acb47c626f17</errorID>
      <errorWord>4848.8 百</errorWord>
      <group>L1_Knowledge</group>
      <groupName>知识性问题</groupName>
      <ability>L2_Knowledge</ability>
      <abilityName>其他知识</abilityName>
      <candidateList>
        <item>484880</item>
      </candidateList>
      <explain>根据GB/T 15835-2011规定，只有“万”、“亿可以与阿拉伯数字混用，例如：“4万”、“4亿”、“4万亿”等。其他情况应统一使用阿拉伯数字。</explain>
      <paraID>41221B82</paraID>
      <start>60</start>
      <end>68</end>
      <status>unmodified</status>
      <modifiedWord/>
      <trackRevisions>false</trackRevisions>
    </reviewItem>
    <reviewItem>
      <errorID>92df5e67-9856-476b-ba6a-f420497e2d99</errorID>
      <errorWord>到达</errorWord>
      <group>L1_Word</group>
      <groupName>字词问题</groupName>
      <ability>L2_Typo</ability>
      <abilityName>字词错误</abilityName>
      <candidateList>
        <item>达到</item>
      </candidateList>
      <explain/>
      <paraID>41221B82</paraID>
      <start>139</start>
      <end>141</end>
      <status>unmodified</status>
      <modifiedWord/>
      <trackRevisions>false</trackRevisions>
    </reviewItem>
    <reviewItem>
      <errorID>4d4e2e6d-32f1-4916-b647-b8ff5e6f15fd</errorID>
      <errorWord>5614.0 百</errorWord>
      <group>L1_Knowledge</group>
      <groupName>知识性问题</groupName>
      <ability>L2_Knowledge</ability>
      <abilityName>其他知识</abilityName>
      <candidateList>
        <item>561400</item>
      </candidateList>
      <explain>根据GB/T 15835-2011规定，只有“万”、“亿可以与阿拉伯数字混用，例如：“4万”、“4亿”、“4万亿”等。其他情况应统一使用阿拉伯数字。</explain>
      <paraID>41221B82</paraID>
      <start>153</start>
      <end>161</end>
      <status>unmodified</status>
      <modifiedWord/>
      <trackRevisions>false</trackRevisions>
    </reviewItem>
    <reviewItem>
      <errorID>10f97ced-48ca-495d-89b6-26ca6036ab30</errorID>
      <errorWord>985.5 百</errorWord>
      <group>L1_Knowledge</group>
      <groupName>知识性问题</groupName>
      <ability>L2_Knowledge</ability>
      <abilityName>其他知识</abilityName>
      <candidateList>
        <item>98550</item>
      </candidateList>
      <explain>根据GB/T 15835-2011规定，只有“万”、“亿可以与阿拉伯数字混用，例如：“4万”、“4亿”、“4万亿”等。其他情况应统一使用阿拉伯数字。</explain>
      <paraID>4718E9D8</paraID>
      <start>55</start>
      <end>62</end>
      <status>unmodified</status>
      <modifiedWord/>
      <trackRevisions>false</trackRevisions>
    </reviewItem>
    <reviewItem>
      <errorID>06d34e60-2405-4b4a-a20a-319669c45f9b</errorID>
      <errorWord>/。</errorWord>
      <group>L1_Punc</group>
      <groupName>标点问题</groupName>
      <ability>L2_Punc_CN</ability>
      <abilityName>标点符号问题</abilityName>
      <candidateList>
        <item>/</item>
      </candidateList>
      <explain/>
      <paraID>562FF90C</paraID>
      <start>18</start>
      <end>20</end>
      <status>unmodified</status>
      <modifiedWord/>
      <trackRevisions>false</trackRevisions>
    </reviewItem>
    <reviewItem>
      <errorID>37d92c6f-64e6-47ba-910f-e18761536ff3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29A7E039</paraID>
      <start>68</start>
      <end>69</end>
      <status>unmodified</status>
      <modifiedWord/>
      <trackRevisions>false</trackRevisions>
    </reviewItem>
    <reviewItem>
      <errorID>7e8b96e1-242c-43a8-8b71-317c1dfd706b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29A7E039</paraID>
      <start>71</start>
      <end>72</end>
      <status>unmodified</status>
      <modifiedWord/>
      <trackRevisions>false</trackRevisions>
    </reviewItem>
    <reviewItem>
      <errorID>f55a8136-71c9-4833-9955-92be5c43767b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1FB08258</paraID>
      <start>29</start>
      <end>30</end>
      <status>unmodified</status>
      <modifiedWord/>
      <trackRevisions>false</trackRevisions>
    </reviewItem>
    <reviewItem>
      <errorID>95cf93f9-383b-4ab6-a8b6-6aee79f9f154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4FBF0C2A</paraID>
      <start>70</start>
      <end>71</end>
      <status>unmodified</status>
      <modifiedWord/>
      <trackRevisions>false</trackRevisions>
    </reviewItem>
    <reviewItem>
      <errorID>b3562f66-aca3-43d6-8d26-83f3e71e8dcd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4FBF0C2A</paraID>
      <start>73</start>
      <end>74</end>
      <status>unmodified</status>
      <modifiedWord/>
      <trackRevisions>false</trackRevisions>
    </reviewItem>
    <reviewItem>
      <errorID>26472e93-7a5c-4d40-aef3-8b1538a07460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55D91EEB</paraID>
      <start>78</start>
      <end>79</end>
      <status>unmodified</status>
      <modifiedWord/>
      <trackRevisions>false</trackRevisions>
    </reviewItem>
    <reviewItem>
      <errorID>27b42aae-0031-4a10-b4c2-88f85ce2d3ec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55D91EEB</paraID>
      <start>80</start>
      <end>81</end>
      <status>unmodified</status>
      <modifiedWord/>
      <trackRevisions>false</trackRevisions>
    </reviewItem>
    <reviewItem>
      <errorID>b1b011dc-c9ee-4e20-8cf9-3e8b121feec7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4DB6A7E0</paraID>
      <start>29</start>
      <end>30</end>
      <status>unmodified</status>
      <modifiedWord/>
      <trackRevisions>false</trackRevisions>
    </reviewItem>
    <reviewItem>
      <errorID>69254e85-2e96-47eb-8ac3-6efe1ff15866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4DB6A7E0</paraID>
      <start>31</start>
      <end>32</end>
      <status>unmodified</status>
      <modifiedWord/>
      <trackRevisions>false</trackRevisions>
    </reviewItem>
    <reviewItem>
      <errorID>49351662-d2ea-440e-9e06-74cff59e6c13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4DB6A7E0</paraID>
      <start>52</start>
      <end>53</end>
      <status>unmodified</status>
      <modifiedWord/>
      <trackRevisions>false</trackRevisions>
    </reviewItem>
    <reviewItem>
      <errorID>44553855-1bee-4715-ab5e-8212d6ab2aea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64EFF4DC</paraID>
      <start>68</start>
      <end>69</end>
      <status>unmodified</status>
      <modifiedWord/>
      <trackRevisions>false</trackRevisions>
    </reviewItem>
    <reviewItem>
      <errorID>426fe6cc-de03-4ac0-a80d-608f355f5cce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64EFF4DC</paraID>
      <start>71</start>
      <end>72</end>
      <status>unmodified</status>
      <modifiedWord/>
      <trackRevisions>false</trackRevisions>
    </reviewItem>
    <reviewItem>
      <errorID>340a0aaa-6dd1-4208-8e71-41cf4420ad71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13</start>
      <end>14</end>
      <status>unmodified</status>
      <modifiedWord/>
      <trackRevisions>false</trackRevisions>
    </reviewItem>
    <reviewItem>
      <errorID>950d9e47-8501-48e6-9e5d-10a384914bbb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20</start>
      <end>21</end>
      <status>unmodified</status>
      <modifiedWord/>
      <trackRevisions>false</trackRevisions>
    </reviewItem>
    <reviewItem>
      <errorID>4a564b25-e4eb-4922-b024-1fe623a31536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25</start>
      <end>26</end>
      <status>unmodified</status>
      <modifiedWord/>
      <trackRevisions>false</trackRevisions>
    </reviewItem>
    <reviewItem>
      <errorID>a7f58404-e5e4-43f8-9d75-1784233dc43a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34</start>
      <end>35</end>
      <status>unmodified</status>
      <modifiedWord/>
      <trackRevisions>false</trackRevisions>
    </reviewItem>
    <reviewItem>
      <errorID>ff786be9-eb08-4344-bd1c-31253b2bdd34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39</start>
      <end>40</end>
      <status>unmodified</status>
      <modifiedWord/>
      <trackRevisions>false</trackRevisions>
    </reviewItem>
    <reviewItem>
      <errorID>23b19144-e2d3-4d47-878c-4e66488ed46f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57</start>
      <end>58</end>
      <status>unmodified</status>
      <modifiedWord/>
      <trackRevisions>false</trackRevisions>
    </reviewItem>
    <reviewItem>
      <errorID>f2d5d764-718e-4a7f-ba9f-58100a595c97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7ACF8C57</paraID>
      <start>62</start>
      <end>63</end>
      <status>unmodified</status>
      <modifiedWord/>
      <trackRevisions>false</trackRevisions>
    </reviewItem>
    <reviewItem>
      <errorID>e6c95c5f-fb77-4e58-9a6f-6f56a3fc6c7a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22872182</paraID>
      <start>7</start>
      <end>8</end>
      <status>unmodified</status>
      <modifiedWord/>
      <trackRevisions>false</trackRevisions>
    </reviewItem>
    <reviewItem>
      <errorID>69a9cc5f-5393-43f0-a3aa-ab40e6714900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22872182</paraID>
      <start>12</start>
      <end>13</end>
      <status>unmodified</status>
      <modifiedWord/>
      <trackRevisions>false</trackRevisions>
    </reviewItem>
    <reviewItem>
      <errorID>80bfdeea-c7fa-406f-b6ef-cfb13f0cde21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321FEF3A</paraID>
      <start>62</start>
      <end>63</end>
      <status>unmodified</status>
      <modifiedWord/>
      <trackRevisions>false</trackRevisions>
    </reviewItem>
    <reviewItem>
      <errorID>79f36c5e-6b7d-4ed1-8c48-e8d7a999f6ed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321FEF3A</paraID>
      <start>65</start>
      <end>66</end>
      <status>unmodified</status>
      <modifiedWord/>
      <trackRevisions>false</trackRevisions>
    </reviewItem>
    <reviewItem>
      <errorID>91e6848a-5523-42e1-9bde-182609d4e38d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3A6317FA</paraID>
      <start>65</start>
      <end>66</end>
      <status>unmodified</status>
      <modifiedWord/>
      <trackRevisions>false</trackRevisions>
    </reviewItem>
    <reviewItem>
      <errorID>1efe2c63-3d93-43b0-9100-0a2c71b36905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3A6317FA</paraID>
      <start>69</start>
      <end>70</end>
      <status>unmodified</status>
      <modifiedWord/>
      <trackRevisions>false</trackRevisions>
    </reviewItem>
    <reviewItem>
      <errorID>86f6dbf2-6317-4183-a727-3999715d7332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3A6317FA</paraID>
      <start>79</start>
      <end>80</end>
      <status>unmodified</status>
      <modifiedWord/>
      <trackRevisions>false</trackRevisions>
    </reviewItem>
    <reviewItem>
      <errorID>006db12c-cdec-4766-9f2e-2b093f3d6d1c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3A6317FA</paraID>
      <start>85</start>
      <end>86</end>
      <status>unmodified</status>
      <modifiedWord/>
      <trackRevisions>false</trackRevisions>
    </reviewItem>
    <reviewItem>
      <errorID>51c0ffc2-01ad-44d7-b522-1a9e40ddc7cd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DF25C0D</paraID>
      <start>56</start>
      <end>57</end>
      <status>unmodified</status>
      <modifiedWord/>
      <trackRevisions>false</trackRevisions>
    </reviewItem>
    <reviewItem>
      <errorID>ff8cae3a-f449-4843-9eb2-94d0cece6d24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DF25C0D</paraID>
      <start>59</start>
      <end>60</end>
      <status>unmodified</status>
      <modifiedWord/>
      <trackRevisions>false</trackRevisions>
    </reviewItem>
    <reviewItem>
      <errorID>b1825192-d1e2-4368-b776-fb5579d85932</errorID>
      <errorWord>in</errorWord>
      <group>L1_English</group>
      <groupName>英文问题</groupName>
      <ability>L2_Other_Grammar</ability>
      <abilityName>其他语法问题</abilityName>
      <candidateList>
        <item>\in</item>
      </candidateList>
      <explain>疑似单词/词组使用不当, 建议将in修改为\in</explain>
      <paraID>4279A88B</paraID>
      <start>16</start>
      <end>18</end>
      <status>unmodified</status>
      <modifiedWord/>
      <trackRevisions>false</trackRevisions>
    </reviewItem>
    <reviewItem>
      <errorID>bb511609-ae92-43bd-af5f-69edafe61a58</errorID>
      <errorWord>P+_i</errorWord>
      <group>L1_English</group>
      <groupName>英文问题</groupName>
      <ability>L2_Other_Grammar</ability>
      <abilityName>其他语法问题</abilityName>
      <candidateList>
        <item>P_i^+</item>
      </candidateList>
      <explain>名词使用不当, 建议将P+_i修改为P_i^+</explain>
      <paraID>4279A88B</paraID>
      <start>22</start>
      <end>26</end>
      <status>unmodified</status>
      <modifiedWord/>
      <trackRevisions>false</trackRevisions>
    </reviewItem>
    <reviewItem>
      <errorID>14e7b4a1-71c1-4728-8973-f4c939a947b2</errorID>
      <errorWord>sum_ {j notin</errorWord>
      <group>L1_English</group>
      <groupName>英文问题</groupName>
      <ability>L2_Other_Grammar</ability>
      <abilityName>其他语法问题</abilityName>
      <candidateList>
        <item>\sum_{j \notin</item>
      </candidateList>
      <explain>疑似单词/词组使用不当, 建议将sum_ {j notin修改为\sum_{j \notin</explain>
      <paraID>4279A88B</paraID>
      <start>29</start>
      <end>42</end>
      <status>unmodified</status>
      <modifiedWord/>
      <trackRevisions>false</trackRevisions>
    </reviewItem>
    <reviewItem>
      <errorID>76d7b68d-46f5-4f1f-b937-1b12a4c17a77</errorID>
      <errorWord>in</errorWord>
      <group>L1_English</group>
      <groupName>英文问题</groupName>
      <ability>L2_Other_Grammar</ability>
      <abilityName>其他语法问题</abilityName>
      <candidateList>
        <item>\in</item>
      </candidateList>
      <explain>疑似单词/词组使用不当, 建议将in修改为\in</explain>
      <paraID>4279A88B</paraID>
      <start>48</start>
      <end>50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788be7-ad75-408a-a8b9-91ba9f5a4b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4776</Words>
  <Characters>5722</Characters>
  <TotalTime>17</TotalTime>
  <ScaleCrop>false</ScaleCrop>
  <LinksUpToDate>false</LinksUpToDate>
  <CharactersWithSpaces>6226</CharactersWithSpaces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2026-08-21T20:57:00Z</dcterms:created>
  <dc:creator>hjt</dc:creator>
  <cp:lastModifiedBy>烂 </cp:lastModifiedBy>
  <dcterms:modified xsi:type="dcterms:W3CDTF">2026-08-22T23:50:26Z</dcterms:modified>
  <dc:title>考虑送端碳排不确定性的区域电网鲁棒碳流追踪与低碳调度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2026-08-21T14:41:17Z</vt:filetime>
  </property>
  <property fmtid="{D5CDD505-2E9C-101B-9397-08002B2CF9AE}" pid="4" name="KSOTemplateDocerSaveRecord">
    <vt:lpwstr>eyJoZGlkIjoiZDYyMDg4ZmI3ZmY2N2M2ZTQ5YzRhMGFhOGQ3YjdlOTciLCJ1c2VySWQiOiIxODY1MDA5MDc1In0=</vt:lpwstr>
  </property>
  <property fmtid="{D5CDD505-2E9C-101B-9397-08002B2CF9AE}" pid="5" name="KSOProductBuildVer">
    <vt:lpwstr>2052-12.1.26055.26055</vt:lpwstr>
  </property>
  <property fmtid="{D5CDD505-2E9C-101B-9397-08002B2CF9AE}" pid="6" name="ICV">
    <vt:lpwstr>BCE131C914458A94DAB9896A253AE570_43</vt:lpwstr>
  </property>
</Properties>
</file>