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边框与文本的间距设为0，使其紧贴文本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