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 w:eastAsia="zh-Hans"/>
        </w:rPr>
      </w:pPr>
      <w:r>
        <w:rPr>
          <w:b/>
          <w:bCs/>
          <w:lang w:eastAsia="zh-Hans"/>
        </w:rPr>
        <w:t xml:space="preserve">IG </w:t>
      </w:r>
      <w:r>
        <w:rPr>
          <w:b/>
          <w:bCs/>
          <w:lang w:val="en-US" w:eastAsia="zh-Hans"/>
        </w:rPr>
        <w:t>游戏接入文档（草稿）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版本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修订日期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0.10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2022/07/01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初始化文档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0.11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2022/07/05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增加历史查询功能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0.12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2022/08/31</w:t>
            </w:r>
          </w:p>
        </w:tc>
        <w:tc>
          <w:tcPr>
            <w:tcW w:w="2841" w:type="dxa"/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调整进入方式</w:t>
            </w: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，</w:t>
            </w: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增加</w:t>
            </w: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game_domain</w:t>
            </w:r>
            <w:r>
              <w:rPr>
                <w:b/>
                <w:bCs/>
                <w:position w:val="0"/>
                <w:sz w:val="21"/>
                <w:vertAlign w:val="baseline"/>
                <w:lang w:val="en-US" w:eastAsia="zh-Hans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nil"/>
            </w:tcBorders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eastAsia="zh-Hans"/>
              </w:rPr>
              <w:t>0.13</w:t>
            </w:r>
          </w:p>
        </w:tc>
        <w:tc>
          <w:tcPr>
            <w:tcW w:w="2841" w:type="dxa"/>
            <w:tcBorders>
              <w:top w:val="nil"/>
            </w:tcBorders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2022/09/26</w:t>
            </w:r>
          </w:p>
        </w:tc>
        <w:tc>
          <w:tcPr>
            <w:tcW w:w="2841" w:type="dxa"/>
            <w:tcBorders>
              <w:top w:val="nil"/>
            </w:tcBorders>
          </w:tcPr>
          <w:p>
            <w:pPr>
              <w:widowControl w:val="0"/>
              <w:spacing w:before="0" w:after="0"/>
              <w:jc w:val="center"/>
              <w:rPr>
                <w:b/>
                <w:bCs/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增加报表查询</w:t>
            </w:r>
          </w:p>
        </w:tc>
      </w:tr>
    </w:tbl>
    <w:p>
      <w:pPr>
        <w:jc w:val="center"/>
        <w:rPr>
          <w:b/>
          <w:bCs/>
          <w:lang w:eastAsia="zh-Hans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进入</w:t>
      </w:r>
      <w:r>
        <w:t>Web H5</w:t>
      </w:r>
      <w:r>
        <w:rPr>
          <w:lang w:val="en-US" w:eastAsia="zh-Hans"/>
        </w:rPr>
        <w:t>大厅</w:t>
      </w:r>
    </w:p>
    <w:p>
      <w:pPr>
        <w:rPr>
          <w:lang w:eastAsia="zh-Hans"/>
        </w:rPr>
      </w:pPr>
      <w:r>
        <w:rPr>
          <w:lang w:eastAsia="zh-Hans"/>
        </w:rPr>
        <w:t>Url:  {{iggameurl}}/web-lobby/index.html?player_session={{player_session}}&amp;operator_player_param={{operator_player_param}}&amp;game_id={{game_id}}</w:t>
      </w:r>
    </w:p>
    <w:p>
      <w:pPr>
        <w:rPr>
          <w:lang w:eastAsia="zh-Hans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9"/>
        <w:gridCol w:w="1937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iggameurl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游戏接入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player_session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调用登录接口时返回的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operator_player_param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Varchar(1024)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自定义参数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5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3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01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</w:tbl>
    <w:p>
      <w:pPr>
        <w:rPr>
          <w:lang w:eastAsia="zh-Hans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身份验证（回调接口）</w:t>
      </w:r>
    </w:p>
    <w:p>
      <w:pPr>
        <w:rPr>
          <w:lang w:eastAsia="zh-Hans"/>
        </w:rPr>
      </w:pPr>
      <w:r>
        <w:rPr>
          <w:lang w:eastAsia="zh-Hans"/>
        </w:rPr>
        <w:t>HTTP URL: {{mechantaddr}}VerifySession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(application/x-www-form-urlencoded) </w:t>
      </w:r>
      <w:r>
        <w:rPr>
          <w:lang w:val="en-US" w:eastAsia="zh-Hans"/>
        </w:rPr>
        <w:t>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3"/>
        <w:gridCol w:w="1668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mechantaddr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游戏接入方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由接入方提供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operator_player_session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custom_parameter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Varchar(1024)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选填operator_player_param后</w:t>
            </w:r>
            <w:r>
              <w:rPr>
                <w:position w:val="0"/>
                <w:sz w:val="21"/>
                <w:vertAlign w:val="baseline"/>
                <w:lang w:eastAsia="zh-Hans"/>
              </w:rPr>
              <w:t>,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将会回传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ip</w:t>
            </w:r>
          </w:p>
        </w:tc>
        <w:tc>
          <w:tcPr>
            <w:tcW w:w="195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9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玩家登录IP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</w:t>
            </w:r>
            <w:r>
              <w:rPr>
                <w:lang w:val="en-US" w:eastAsia="zh-Hans"/>
              </w:rPr>
              <w:t>la</w:t>
            </w:r>
            <w:r>
              <w:rPr>
                <w:lang w:eastAsia="zh-Hans"/>
              </w:rPr>
              <w:t>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玩家身分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nickname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avatar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Varchar(300)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否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lang w:val="en-US" w:eastAsia="zh-Hans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val="en-US" w:eastAsia="zh-Hans"/>
              </w:rPr>
              <w:t>cu</w:t>
            </w:r>
            <w:r>
              <w:rPr>
                <w:lang w:eastAsia="zh-Hans"/>
              </w:rPr>
              <w:t>rrency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"data"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"player_name"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"200001"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"nickname"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-SA"/>
        </w:rPr>
        <w:t>nike”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"currency"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"PHP"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"error"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失败返回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"error"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"code"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val="en-US" w:eastAsia="zh-CN" w:bidi="ar-SA"/>
        </w:rPr>
        <w:t>1000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"message"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-SA"/>
        </w:rPr>
        <w:t>merchant does not exists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"data"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</w:t>
      </w: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登录</w:t>
      </w:r>
      <w:r>
        <w:rPr>
          <w:lang w:eastAsia="zh-Hans"/>
        </w:rPr>
        <w:t>/</w:t>
      </w:r>
      <w:r>
        <w:rPr>
          <w:lang w:val="en-US" w:eastAsia="zh-Hans"/>
        </w:rPr>
        <w:t>创建账号</w:t>
      </w:r>
    </w:p>
    <w:p>
      <w:pPr>
        <w:rPr>
          <w:lang w:eastAsia="zh-Hans"/>
        </w:rPr>
      </w:pPr>
      <w:r>
        <w:rPr>
          <w:lang w:eastAsia="zh-Hans"/>
        </w:rPr>
        <w:t>HTTP URL: {{igaddr}}/api/cf/LoginGame</w:t>
      </w:r>
    </w:p>
    <w:p>
      <w:pPr>
        <w:keepNext w:val="0"/>
        <w:keepLines w:val="0"/>
        <w:widowControl/>
        <w:jc w:val="left"/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  <w:t>application/json</w:t>
      </w: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eastAsia="zh-CN" w:bidi="ar-SA"/>
        </w:rPr>
        <w:t>)</w:t>
      </w:r>
    </w:p>
    <w:p>
      <w:pPr>
        <w:keepNext w:val="0"/>
        <w:keepLines w:val="0"/>
        <w:widowControl/>
        <w:jc w:val="left"/>
        <w:rPr>
          <w:lang w:val="en-US" w:eastAsia="zh-Hans"/>
        </w:rPr>
      </w:pPr>
      <w:r>
        <w:rPr>
          <w:lang w:val="en-US" w:eastAsia="zh-Hans"/>
        </w:rPr>
        <w:t>注</w:t>
      </w:r>
      <w:r>
        <w:rPr>
          <w:lang w:eastAsia="zh-Hans"/>
        </w:rPr>
        <w:t>：</w:t>
      </w:r>
      <w:r>
        <w:rPr>
          <w:lang w:val="en-US" w:eastAsia="zh-Hans"/>
        </w:rPr>
        <w:t>账号不存在时将自动创建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</w:p>
        </w:tc>
      </w:tr>
    </w:tbl>
    <w:p>
      <w:pPr>
        <w:keepNext w:val="0"/>
        <w:keepLines w:val="0"/>
        <w:widowControl/>
        <w:jc w:val="left"/>
        <w:rPr>
          <w:lang w:eastAsia="zh-Hans"/>
        </w:rPr>
      </w:pP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7"/>
        <w:gridCol w:w="1689"/>
        <w:gridCol w:w="2368"/>
      </w:tblGrid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operator_player_session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currency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val="en-US" w:eastAsia="zh-Hans"/>
              </w:rPr>
              <w:t>V</w:t>
            </w:r>
            <w:r>
              <w:rPr>
                <w:lang w:eastAsia="zh-Hans"/>
              </w:rPr>
              <w:t>archar(20)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nickname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昵称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avatar</w:t>
            </w:r>
          </w:p>
        </w:tc>
        <w:tc>
          <w:tcPr>
            <w:tcW w:w="195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Varchar(300)</w:t>
            </w:r>
          </w:p>
        </w:tc>
        <w:tc>
          <w:tcPr>
            <w:tcW w:w="168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2368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头像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player_session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game_domain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用于动态填入</w:t>
            </w:r>
            <w:r>
              <w:rPr>
                <w:lang w:eastAsia="zh-Hans"/>
              </w:rPr>
              <w:t>iggameurl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"http://h5.yfbsy.com/api/cf/LoginGame?trace_id=2"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Hans" w:bidi="ar-SA"/>
        </w:rPr>
        <w:t>http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Hans" w:bidi="ar-SA"/>
        </w:rPr>
        <w:t>://h5.yfbsy.com/api/cf/LoginGame?trace_id=ed344c65-8ee5-4bdb-99bb-3fd2ef6fade1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Hans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"operator_player_session"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"nickname"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"player123_nickname"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  <w:lang w:val="en-US" w:eastAsia="zh-Hans"/>
        </w:rPr>
      </w:pPr>
      <w:r>
        <w:rPr>
          <w:rFonts w:ascii="Menlo" w:hAnsi="Menlo" w:eastAsia="Menlo" w:cs="Menlo"/>
          <w:b w:val="0"/>
          <w:bCs w:val="0"/>
          <w:color w:val="000000"/>
          <w:sz w:val="24"/>
          <w:szCs w:val="24"/>
          <w:lang w:val="en-US" w:eastAsia="zh-Hans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"player123"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"player_session"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"1"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-SA"/>
        </w:rPr>
        <w:t>game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_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-SA"/>
        </w:rPr>
        <w:t>domain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-SA"/>
        </w:rPr>
        <w:t>http://1111.com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失败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"error"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"code"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eastAsia="zh-CN" w:bidi="ar-SA"/>
        </w:rPr>
        <w:t>701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"message"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-SA"/>
        </w:rPr>
        <w:t>player exception</w:t>
      </w:r>
      <w:r>
        <w:rPr>
          <w:rFonts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-SA"/>
        </w:rPr>
        <w:t>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-SA"/>
        </w:rPr>
        <w:t>"data"</w:t>
      </w: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 xml:space="preserve">: </w:t>
      </w:r>
      <w:r>
        <w:rPr>
          <w:rFonts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-SA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余额查询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{{igaddr}}/api/cf/GetPlayerWallet</w:t>
      </w:r>
    </w:p>
    <w:p>
      <w:pPr>
        <w:rPr>
          <w:lang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totalBalance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currency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"http://h5.yfbsy.com/api/cf/GetPlayerWallet?trace_id=1234"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http://h5.yfbsy.com/api/cf/GetPlayerWallet?trace_id=103b0e42-2227-4fed-9814-ca53e050ca11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"totalBalance"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0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充值</w:t>
      </w:r>
    </w:p>
    <w:p>
      <w:pPr>
        <w:rPr>
          <w:lang w:eastAsia="zh-Hans"/>
        </w:rPr>
      </w:pPr>
      <w:r>
        <w:rPr>
          <w:lang w:eastAsia="zh-Hans"/>
        </w:rPr>
        <w:t>HTTP URL: {{igaddr}}/api/cf/TransferIn</w:t>
      </w:r>
    </w:p>
    <w:p>
      <w:pPr>
        <w:rPr>
          <w:lang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amount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transfer_reference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Varchar(50)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交易凭证，运营商平台生成并确保每</w:t>
            </w:r>
          </w:p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次交易是独有的。</w:t>
            </w:r>
          </w:p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currency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balanceAmountBefore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"http://h5.yfbsy.com/api/cf/TransferIn?trace_id=1239"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h5.yfbsy.com/api/cf/TransferIn?trace_id=7fc0c4b3-c0af-41e7-9120-544340ce7fcc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"transfer_reference"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"123456"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"balanceAmountBefore"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200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eastAsia="zh-CN" w:bidi="ar-SA"/>
        </w:rPr>
        <w:tab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转账</w:t>
      </w:r>
    </w:p>
    <w:p>
      <w:pPr>
        <w:rPr>
          <w:lang w:eastAsia="zh-Hans"/>
        </w:rPr>
      </w:pPr>
      <w:r>
        <w:rPr>
          <w:lang w:eastAsia="zh-Hans"/>
        </w:rPr>
        <w:t>HTTP URL: {{igaddr}}/api/cf/TransferOut</w:t>
      </w:r>
    </w:p>
    <w:p>
      <w:pPr>
        <w:rPr>
          <w:lang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amount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transfer_reference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Varchar(50)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交易凭证，运营商平台生成并确保每</w:t>
            </w:r>
          </w:p>
          <w:p>
            <w:pPr>
              <w:keepNext w:val="0"/>
              <w:keepLines w:val="0"/>
              <w:widowControl w:val="0"/>
              <w:spacing w:before="0" w:after="0"/>
              <w:jc w:val="left"/>
            </w:pPr>
            <w:r>
              <w:rPr>
                <w:rFonts w:ascii="MicrosoftYaHei" w:hAnsi="MicrosoftYaHei" w:eastAsia="MicrosoftYaHei" w:cs="MicrosoftYaHei"/>
                <w:color w:val="000000"/>
                <w:kern w:val="0"/>
                <w:sz w:val="22"/>
                <w:szCs w:val="22"/>
                <w:lang w:val="en-US" w:eastAsia="zh-CN" w:bidi="ar-SA"/>
              </w:rPr>
              <w:t>次交易是独有的。</w:t>
            </w:r>
          </w:p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currency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Varchar(20)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balanceAmountBefore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balanceAmount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"http://h5.yfbsy.com/api/cf/TransferOut?trace_id=12390"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http://h5.yfbsy.com/api/cf/TransferOut?trace_id=0d25d5f5-86d1-4b65-9d0d-0dae94ca3c13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fldChar w:fldCharType="end"/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"player124"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"currency"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"PHP"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"transfer_reference"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"123457"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"balanceAmountBefore"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200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rPr>
          <w:lang w:val="en-US" w:eastAsia="zh-Hans"/>
        </w:rPr>
      </w:pPr>
    </w:p>
    <w:p>
      <w:pPr>
        <w:pStyle w:val="5"/>
        <w:bidi w:val="0"/>
        <w:rPr>
          <w:lang w:val="en-US" w:eastAsia="zh-Hans"/>
        </w:rPr>
      </w:pPr>
      <w:r>
        <w:rPr>
          <w:lang w:val="en-US" w:eastAsia="zh-Hans"/>
        </w:rPr>
        <w:t>历史查询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{{igaddr}}/api/cf/GetHistory?trace_id={trace_id}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transfer_amount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输赢金额</w:t>
            </w:r>
            <w:r>
              <w:rPr>
                <w:position w:val="0"/>
                <w:sz w:val="21"/>
                <w:vertAlign w:val="baseline"/>
                <w:lang w:eastAsia="zh-Hans"/>
              </w:rPr>
              <w:t>(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正数为增加</w:t>
            </w:r>
            <w:r>
              <w:rPr>
                <w:position w:val="0"/>
                <w:sz w:val="21"/>
                <w:vertAlign w:val="baseline"/>
                <w:lang w:eastAsia="zh-Hans"/>
              </w:rPr>
              <w:t>，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负数为扣减玩家余额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transaction_id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bet_type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接入方玩家</w:t>
            </w:r>
            <w:r>
              <w:rPr>
                <w:position w:val="0"/>
                <w:sz w:val="21"/>
                <w:vertAlign w:val="baseline"/>
                <w:lang w:eastAsia="zh-Hans"/>
              </w:rPr>
              <w:t>player_name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bet_amount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create_time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transaction_id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parent_bet_id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母注单号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balance_before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balance_after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lang w:val="en-US" w:eastAsia="zh-Hans"/>
        </w:rPr>
        <w:t>接口支持最多</w:t>
      </w:r>
      <w:r>
        <w:rPr>
          <w:lang w:eastAsia="zh-Hans"/>
        </w:rPr>
        <w:t>60</w:t>
      </w:r>
      <w:r>
        <w:rPr>
          <w:lang w:val="en-US" w:eastAsia="zh-Hans"/>
        </w:rPr>
        <w:t>天数据查询</w:t>
      </w:r>
      <w:r>
        <w:rPr>
          <w:lang w:eastAsia="zh-Hans"/>
        </w:rPr>
        <w:t>，</w:t>
      </w:r>
      <w:r>
        <w:rPr>
          <w:lang w:val="en-US" w:eastAsia="zh-Hans"/>
        </w:rPr>
        <w:t>单次</w:t>
      </w:r>
      <w:r>
        <w:rPr>
          <w:lang w:eastAsia="zh-Hans"/>
        </w:rPr>
        <w:t>end_time - start_time</w:t>
      </w:r>
      <w:r>
        <w:rPr>
          <w:lang w:val="en-US" w:eastAsia="zh-Hans"/>
        </w:rPr>
        <w:t>不允许超过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，1</w:t>
      </w:r>
      <w:r>
        <w:rPr>
          <w:lang w:val="en-US" w:eastAsia="zh-Hans"/>
        </w:rPr>
        <w:t>分钟限制请求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</w:t>
      </w:r>
      <w:r>
        <w:rPr>
          <w:lang w:eastAsia="zh-Hans"/>
        </w:rPr>
        <w:t>1</w:t>
      </w:r>
      <w:r>
        <w:rPr>
          <w:lang w:val="en-US" w:eastAsia="zh-Hans"/>
        </w:rPr>
        <w:t>分钟以上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返回数据按时间正序</w:t>
      </w:r>
      <w:r>
        <w:rPr>
          <w:lang w:eastAsia="zh-Hans"/>
        </w:rPr>
        <w:t>，</w:t>
      </w:r>
      <w:r>
        <w:rPr>
          <w:lang w:val="en-US" w:eastAsia="zh-Hans"/>
        </w:rPr>
        <w:t>最后一条数据的</w:t>
      </w:r>
      <w:r>
        <w:rPr>
          <w:lang w:eastAsia="zh-Hans"/>
        </w:rPr>
        <w:t>create_time,</w:t>
      </w:r>
      <w:r>
        <w:rPr>
          <w:lang w:val="en-US" w:eastAsia="zh-Hans"/>
        </w:rPr>
        <w:t>可作为下一次查询用的</w:t>
      </w:r>
      <w:r>
        <w:rPr>
          <w:lang w:eastAsia="zh-Hans"/>
        </w:rPr>
        <w:t>start_time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"http://h5.yfbsy.com/api/cf/GetHistory?trace_id=7fc0c4b3-c0af-41e7-9120-544340ce7fcc" \h </w:instrText>
      </w:r>
      <w:r>
        <w:fldChar w:fldCharType="separate"/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h5.yfbsy.com/api/cf/GetHistory?trace_id=7fc0c4b3-c0af-41e7-9120-544340ce7fcc</w:t>
      </w:r>
      <w:r>
        <w:rPr>
          <w:rStyle w:val="12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"tongits"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"secret_key"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"wF6i8NpJRYZjxcrRdCtQzGAyycjDAtAz"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"start_time"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"2022-07-05 00:00:00"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"end_time"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"2022-07-05 23:59:59"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[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"parent_bet_id"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"C5-55-0E-6A-73-F5-43-08-B6-F1-B4-73-03-AA-2E-8B"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"bet_id"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"0"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"player_name"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"123456"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"game_id"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4201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"bill_type"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54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"bet_amount"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6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"transfer_amount"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6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"balance_before"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9973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"balance_after"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9979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"create_time"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"2022-07-05 15:41:13"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]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失败返回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"code"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1008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"message"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"Request limit, please try again in 1 minutes"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rFonts w:ascii="Arial" w:hAnsi="Arial" w:cstheme="minorBidi"/>
          <w:b/>
          <w:kern w:val="2"/>
          <w:sz w:val="28"/>
          <w:szCs w:val="24"/>
          <w:lang w:val="en-US" w:eastAsia="zh-Hans" w:bidi="ar-SA"/>
        </w:rPr>
        <w:t>报表</w:t>
      </w:r>
      <w:r>
        <w:rPr>
          <w:lang w:val="en-US" w:eastAsia="zh-Hans"/>
        </w:rPr>
        <w:t>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{{igaddr}}/api/cf/GetDataReport?trace_id={trace_id}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transfer_amount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输赢金额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bet_amount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count_date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统计日期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bet</w:t>
            </w:r>
            <w:r>
              <w:rPr>
                <w:lang w:eastAsia="zh-Hans"/>
              </w:rPr>
              <w:t>_count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注单数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rFonts w:hint="default"/>
          <w:lang w:eastAsia="zh-Hans"/>
        </w:rPr>
        <w:t>数据每一小时统计一次，</w:t>
      </w:r>
      <w:r>
        <w:rPr>
          <w:lang w:val="en-US" w:eastAsia="zh-Hans"/>
        </w:rPr>
        <w:t>单次</w:t>
      </w:r>
      <w:r>
        <w:rPr>
          <w:lang w:eastAsia="zh-Hans"/>
        </w:rPr>
        <w:t>end_</w:t>
      </w:r>
      <w:r>
        <w:rPr>
          <w:rFonts w:eastAsiaTheme="minorEastAsia" w:cstheme="minorBidi"/>
          <w:kern w:val="2"/>
          <w:sz w:val="21"/>
          <w:szCs w:val="24"/>
          <w:lang w:val="en-US" w:eastAsia="zh-Hans" w:bidi="ar-SA"/>
        </w:rPr>
        <w:t>date</w:t>
      </w:r>
      <w:r>
        <w:rPr>
          <w:lang w:eastAsia="zh-Hans"/>
        </w:rPr>
        <w:t xml:space="preserve"> - start_date</w:t>
      </w:r>
      <w:r>
        <w:rPr>
          <w:lang w:val="en-US" w:eastAsia="zh-Hans"/>
        </w:rPr>
        <w:t>不允许超过3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正</w:t>
      </w:r>
      <w:r>
        <w:rPr>
          <w:lang w:val="en-US" w:eastAsia="zh-Hans"/>
        </w:rPr>
        <w:t>序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widowControl/>
        <w:jc w:val="left"/>
        <w:rPr>
          <w:rFonts w:hint="default"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eastAsia="zh-CN" w:bidi="ar-SA"/>
        </w:rPr>
      </w:pPr>
      <w:r>
        <w:rPr>
          <w:rStyle w:val="12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fldChar w:fldCharType="begin"/>
      </w:r>
      <w:r>
        <w:rPr>
          <w:rStyle w:val="12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instrText xml:space="preserve"> HYPERLINK "http://h5.yfbsy.com/api/cf/GetDataReport?trace_id=e13d3c52-fd47-4f1f-a51c-b8d47c19bb60" </w:instrText>
      </w:r>
      <w:r>
        <w:rPr>
          <w:rStyle w:val="12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fldChar w:fldCharType="separate"/>
      </w:r>
      <w:r>
        <w:rPr>
          <w:rStyle w:val="12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t>http://h5.yfbsy.com/api/cf/GetDataReport?trace_id=e13d3c52-fd47-4f1f-a51c-b8d47c19bb60</w:t>
      </w:r>
      <w:r>
        <w:rPr>
          <w:rStyle w:val="12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"TCd83m2bQ8MNX2iNhAXb8DFyz6CECCQJ"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"secret_key"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"AD4ekPmRFR46HAeZ8Zwp7yfnSYR4pJMD"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, 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"start_date"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"2022-09-01"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, 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"end_date"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"2022-09-26"</w:t>
      </w:r>
      <w:r>
        <w:rPr>
          <w:rFonts w:ascii="IBMPlexMono, monospace, ;Droid" w:hAnsi="IBMPlexMono, monospace, ;Droid"/>
          <w:color w:val="000000"/>
          <w:shd w:val="clear" w:fill="FFFFFE"/>
        </w:rPr>
        <w:t>}</w:t>
      </w:r>
    </w:p>
    <w:p>
      <w:pPr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"error"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b/>
          <w:color w:val="0451A5"/>
          <w:shd w:val="clear" w:fill="FFFFFE"/>
        </w:rPr>
        <w:t>null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"data"</w:t>
      </w:r>
      <w:r>
        <w:rPr>
          <w:rFonts w:ascii="IBMPlexMono, monospace, ;Droid" w:hAnsi="IBMPlexMono, monospace, ;Droid"/>
          <w:color w:val="000000"/>
          <w:shd w:val="clear" w:fill="FFFFFE"/>
        </w:rPr>
        <w:t>: [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{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"game_id"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4201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"bet_count"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151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"bet_amount"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566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"transfer_amount"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-8682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"count_date"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"2022-09-26"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}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]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}</w:t>
      </w:r>
    </w:p>
    <w:p>
      <w:pPr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pStyle w:val="6"/>
        <w:bidi w:val="0"/>
        <w:rPr>
          <w:lang w:val="en-US" w:eastAsia="zh-Hans"/>
        </w:rPr>
      </w:pPr>
      <w:r>
        <w:rPr>
          <w:lang w:val="en-US" w:eastAsia="zh-Hans"/>
        </w:rPr>
        <w:t>错误代号</w:t>
      </w:r>
    </w:p>
    <w:tbl>
      <w:tblPr>
        <w:tblStyle w:val="15"/>
        <w:tblW w:w="6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3779"/>
      </w:tblGrid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1000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Merchant does not 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1001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Data is not legal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1002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Player wallet does not 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1003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1004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The transfer request is in progress, please try again to check the latest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1005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Insufficient 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1006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1007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Request limit, please try again in 15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1008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Request limit, please try again in 1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1009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IP limit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701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702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player session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703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player operator token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900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Interface error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901</w:t>
            </w: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Interface network exception</w:t>
            </w:r>
          </w:p>
        </w:tc>
      </w:tr>
      <w:tr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377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val="en-US" w:eastAsia="zh-Hans"/>
        </w:rPr>
        <w:t>货币编码</w:t>
      </w:r>
    </w:p>
    <w:tbl>
      <w:tblPr>
        <w:tblStyle w:val="15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PHP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比索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</w:p>
        </w:tc>
      </w:tr>
    </w:tbl>
    <w:p>
      <w:pPr>
        <w:rPr>
          <w:lang w:val="en-US" w:eastAsia="zh-Hans"/>
        </w:rPr>
      </w:pPr>
    </w:p>
    <w:p>
      <w:pPr>
        <w:rPr>
          <w:lang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val="en-US" w:eastAsia="zh-Hans"/>
        </w:rPr>
        <w:t>游戏编码</w:t>
      </w:r>
    </w:p>
    <w:tbl>
      <w:tblPr>
        <w:tblStyle w:val="15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c>
          <w:tcPr>
            <w:tcW w:w="2506" w:type="dxa"/>
            <w:vAlign w:val="top"/>
          </w:tcPr>
          <w:p>
            <w:pPr>
              <w:rPr>
                <w:position w:val="0"/>
                <w:sz w:val="20"/>
                <w:vertAlign w:val="baseline"/>
                <w:lang w:eastAsia="zh-Hans"/>
              </w:rPr>
            </w:pPr>
            <w:bookmarkStart w:id="0" w:name="_GoBack" w:colFirst="1" w:colLast="0"/>
            <w:r>
              <w:rPr>
                <w:rFonts w:hint="default"/>
                <w:vertAlign w:val="baseline"/>
                <w:lang w:eastAsia="zh-Hans"/>
              </w:rPr>
              <w:t>4201</w:t>
            </w:r>
          </w:p>
        </w:tc>
        <w:tc>
          <w:tcPr>
            <w:tcW w:w="3774" w:type="dxa"/>
            <w:vAlign w:val="top"/>
          </w:tcPr>
          <w:p>
            <w:pPr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TONGITS</w:t>
            </w:r>
          </w:p>
        </w:tc>
      </w:tr>
      <w:tr>
        <w:tc>
          <w:tcPr>
            <w:tcW w:w="2506" w:type="dxa"/>
            <w:vAlign w:val="top"/>
          </w:tcPr>
          <w:p>
            <w:pPr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4630</w:t>
            </w:r>
          </w:p>
        </w:tc>
        <w:tc>
          <w:tcPr>
            <w:tcW w:w="3774" w:type="dxa"/>
            <w:vAlign w:val="top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CRASH</w:t>
            </w:r>
          </w:p>
        </w:tc>
      </w:tr>
      <w:tr>
        <w:tc>
          <w:tcPr>
            <w:tcW w:w="2506" w:type="dxa"/>
            <w:vAlign w:val="top"/>
          </w:tcPr>
          <w:p>
            <w:pPr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4620</w:t>
            </w:r>
          </w:p>
        </w:tc>
        <w:tc>
          <w:tcPr>
            <w:tcW w:w="3774" w:type="dxa"/>
            <w:vAlign w:val="top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COLOR</w:t>
            </w:r>
          </w:p>
        </w:tc>
      </w:tr>
      <w:tr>
        <w:tc>
          <w:tcPr>
            <w:tcW w:w="2506" w:type="dxa"/>
            <w:vAlign w:val="top"/>
          </w:tcPr>
          <w:p>
            <w:pPr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4510</w:t>
            </w:r>
          </w:p>
        </w:tc>
        <w:tc>
          <w:tcPr>
            <w:tcW w:w="3774" w:type="dxa"/>
            <w:vAlign w:val="top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Dragon and Phoenix</w:t>
            </w:r>
          </w:p>
        </w:tc>
      </w:tr>
      <w:bookmarkEnd w:id="0"/>
    </w:tbl>
    <w:p>
      <w:pPr>
        <w:rPr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eastAsia="zh-Hans"/>
        </w:rPr>
        <w:t>bill_type</w:t>
      </w:r>
      <w:r>
        <w:rPr>
          <w:lang w:val="en-US" w:eastAsia="zh-Hans"/>
        </w:rPr>
        <w:t>编码</w:t>
      </w:r>
    </w:p>
    <w:tbl>
      <w:tblPr>
        <w:tblStyle w:val="15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54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Game Cost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56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On-stage fee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63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Player wins tax 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Prize Pool</w:t>
            </w:r>
          </w:p>
        </w:tc>
      </w:tr>
    </w:tbl>
    <w:p>
      <w:pPr>
        <w:rPr>
          <w:lang w:val="en-US" w:eastAsia="zh-Hans"/>
        </w:rPr>
      </w:pPr>
    </w:p>
    <w:p>
      <w:pPr>
        <w:rPr>
          <w:lang w:val="en-US" w:eastAsia="zh-Hans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1"/>
    <w:family w:val="roman"/>
    <w:pitch w:val="default"/>
    <w:sig w:usb0="00000000" w:usb1="00000000" w:usb2="00000000" w:usb3="00000000" w:csb0="00000000" w:csb1="00000000"/>
  </w:font>
  <w:font w:name="IBMPlexMono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YaHei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Inter;OpenSans;Helvetica;Arial;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, monospace, ;Dro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7049A"/>
    <w:rsid w:val="3CFBA4A8"/>
    <w:rsid w:val="FF3F29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Autospacing="0" w:after="64" w:afterAutospacing="0" w:line="316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5">
    <w:name w:val="Table Grid"/>
    <w:basedOn w:val="9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s1"/>
    <w:basedOn w:val="8"/>
    <w:qFormat/>
    <w:uiPriority w:val="0"/>
    <w:rPr>
      <w:shd w:val="clear" w:fill="171717"/>
    </w:rPr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19">
    <w:name w:val="p1"/>
    <w:basedOn w:val="1"/>
    <w:qFormat/>
    <w:uiPriority w:val="0"/>
    <w:pPr>
      <w:spacing w:before="0" w:beforeAutospacing="0" w:after="0" w:afterAutospacing="0"/>
      <w:ind w:left="0" w:right="0" w:firstLine="0"/>
      <w:jc w:val="left"/>
    </w:pPr>
    <w:rPr>
      <w:rFonts w:ascii="Menlo" w:hAnsi="Menlo" w:eastAsia="Menlo" w:cs="Menlo"/>
      <w:color w:val="598A43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1755</Words>
  <Characters>6656</Characters>
  <Paragraphs>679</Paragraphs>
  <TotalTime>0</TotalTime>
  <ScaleCrop>false</ScaleCrop>
  <LinksUpToDate>false</LinksUpToDate>
  <CharactersWithSpaces>6875</CharactersWithSpaces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2022-05-11T09:54:00Z</dcterms:created>
  <dc:creator>supereatbb</dc:creator>
  <cp:lastModifiedBy>WPS_1643115240</cp:lastModifiedBy>
  <dcterms:modified xsi:type="dcterms:W3CDTF">2022-09-27T02:07:17Z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7886DDD91A6876EBC22FB4628FEDE6DA</vt:lpwstr>
  </property>
  <property fmtid="{D5CDD505-2E9C-101B-9397-08002B2CF9AE}" pid="3" name="KSOProductBuildVer">
    <vt:lpwstr>1033-4.6.1.7467</vt:lpwstr>
  </property>
</Properties>
</file>