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1C03F">
      <w:pPr>
        <w:spacing w:before="1440" w:after="0"/>
        <w:jc w:val="center"/>
      </w:pPr>
      <w:r>
        <w:rPr>
          <w:rFonts w:ascii="Arial" w:hAnsi="Arial" w:eastAsia="Arial" w:cs="Arial"/>
          <w:b/>
          <w:bCs/>
          <w:color w:val="C0392B"/>
          <w:sz w:val="64"/>
          <w:szCs w:val="64"/>
        </w:rPr>
        <w:t>VERDICT PROTOCOL</w:t>
      </w:r>
    </w:p>
    <w:p w14:paraId="059549AB">
      <w:pPr>
        <w:spacing w:before="160" w:after="0"/>
        <w:jc w:val="center"/>
      </w:pPr>
      <w:r>
        <w:rPr>
          <w:rFonts w:ascii="Arial" w:hAnsi="Arial" w:eastAsia="Arial" w:cs="Arial"/>
          <w:b/>
          <w:bCs/>
          <w:color w:val="1A1A1A"/>
          <w:sz w:val="36"/>
          <w:szCs w:val="36"/>
        </w:rPr>
        <w:t>Product Roadmap &amp; Business Plan</w:t>
      </w:r>
    </w:p>
    <w:p w14:paraId="75E8C2BE">
      <w:pPr>
        <w:spacing w:before="80" w:after="600"/>
        <w:jc w:val="center"/>
      </w:pPr>
      <w:r>
        <w:rPr>
          <w:rFonts w:ascii="Arial" w:hAnsi="Arial" w:eastAsia="Arial" w:cs="Arial"/>
          <w:color w:val="5A5A5A"/>
          <w:sz w:val="24"/>
          <w:szCs w:val="24"/>
        </w:rPr>
        <w:t>Comprehensive Planning Document  ·  2026</w:t>
      </w:r>
    </w:p>
    <w:p w14:paraId="13D35E0F">
      <w:pPr>
        <w:pBdr>
          <w:top w:val="single" w:color="C0392B" w:sz="4" w:space="1"/>
          <w:bottom w:val="single" w:color="C0392B" w:sz="4" w:space="1"/>
        </w:pBdr>
        <w:spacing w:before="0" w:after="200"/>
        <w:jc w:val="center"/>
      </w:pPr>
      <w:r>
        <w:rPr>
          <w:rFonts w:ascii="Arial" w:hAnsi="Arial" w:eastAsia="Arial" w:cs="Arial"/>
          <w:sz w:val="8"/>
          <w:szCs w:val="8"/>
        </w:rPr>
        <w:t xml:space="preserve"> </w:t>
      </w:r>
    </w:p>
    <w:p w14:paraId="0B14C468">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EC866C1">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107DF77">
            <w:r>
              <w:rPr>
                <w:rFonts w:ascii="Arial" w:hAnsi="Arial" w:eastAsia="Arial" w:cs="Arial"/>
                <w:b/>
                <w:bCs/>
                <w:color w:val="5A5A5A"/>
                <w:sz w:val="20"/>
                <w:szCs w:val="20"/>
              </w:rPr>
              <w:t>Official Website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534638D7">
            <w:r>
              <w:rPr>
                <w:rFonts w:ascii="Arial" w:hAnsi="Arial" w:eastAsia="Arial" w:cs="Arial"/>
                <w:color w:val="1A1A1A"/>
                <w:sz w:val="20"/>
                <w:szCs w:val="20"/>
              </w:rPr>
              <w:t>verdictstory.vercel.app</w:t>
            </w:r>
          </w:p>
        </w:tc>
      </w:tr>
      <w:tr w14:paraId="667B0D5D">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4F9861C">
            <w:r>
              <w:rPr>
                <w:rFonts w:ascii="Arial" w:hAnsi="Arial" w:eastAsia="Arial" w:cs="Arial"/>
                <w:b/>
                <w:bCs/>
                <w:color w:val="5A5A5A"/>
                <w:sz w:val="20"/>
                <w:szCs w:val="20"/>
              </w:rPr>
              <w:t>Protocol Bet dApp</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10BCC13D">
            <w:r>
              <w:rPr>
                <w:rFonts w:ascii="Arial" w:hAnsi="Arial" w:eastAsia="Arial" w:cs="Arial"/>
                <w:color w:val="1A1A1A"/>
                <w:sz w:val="20"/>
                <w:szCs w:val="20"/>
              </w:rPr>
              <w:t>verdictprotocol.online</w:t>
            </w:r>
          </w:p>
        </w:tc>
      </w:tr>
      <w:tr w14:paraId="2FDB5239">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4A12F96">
            <w:r>
              <w:rPr>
                <w:rFonts w:ascii="Arial" w:hAnsi="Arial" w:eastAsia="Arial" w:cs="Arial"/>
                <w:b/>
                <w:bCs/>
                <w:color w:val="5A5A5A"/>
                <w:sz w:val="20"/>
                <w:szCs w:val="20"/>
              </w:rPr>
              <w:t>Telegram Bot</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256B3247">
            <w:r>
              <w:rPr>
                <w:rFonts w:ascii="Arial" w:hAnsi="Arial" w:eastAsia="Arial" w:cs="Arial"/>
                <w:color w:val="1A1A1A"/>
                <w:sz w:val="20"/>
                <w:szCs w:val="20"/>
              </w:rPr>
              <w:t>@VerdictProtocol_Bot</w:t>
            </w:r>
          </w:p>
        </w:tc>
      </w:tr>
      <w:tr w14:paraId="15037042">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D454D8E">
            <w:r>
              <w:rPr>
                <w:rFonts w:ascii="Arial" w:hAnsi="Arial" w:eastAsia="Arial" w:cs="Arial"/>
                <w:b/>
                <w:bCs/>
                <w:color w:val="5A5A5A"/>
                <w:sz w:val="20"/>
                <w:szCs w:val="20"/>
              </w:rPr>
              <w:t>GitHub</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4513CAE2">
            <w:r>
              <w:rPr>
                <w:rFonts w:ascii="Arial" w:hAnsi="Arial" w:eastAsia="Arial" w:cs="Arial"/>
                <w:color w:val="1A1A1A"/>
                <w:sz w:val="20"/>
                <w:szCs w:val="20"/>
              </w:rPr>
              <w:t>github.com/lant1ng-1216/verdict-protocol</w:t>
            </w:r>
          </w:p>
        </w:tc>
      </w:tr>
      <w:tr w14:paraId="38C71B1E">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48780B3">
            <w:r>
              <w:rPr>
                <w:rFonts w:ascii="Arial" w:hAnsi="Arial" w:eastAsia="Arial" w:cs="Arial"/>
                <w:b/>
                <w:bCs/>
                <w:color w:val="5A5A5A"/>
                <w:sz w:val="20"/>
                <w:szCs w:val="20"/>
              </w:rPr>
              <w:t>npm SDK</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643E5AA8">
            <w:r>
              <w:rPr>
                <w:rFonts w:ascii="Arial" w:hAnsi="Arial" w:eastAsia="Arial" w:cs="Arial"/>
                <w:color w:val="1A1A1A"/>
                <w:sz w:val="20"/>
                <w:szCs w:val="20"/>
              </w:rPr>
              <w:t>@lant1ng/verdict-protocol-sdk</w:t>
            </w:r>
          </w:p>
        </w:tc>
      </w:tr>
      <w:tr w14:paraId="578F45B5">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5D1AFF7">
            <w:r>
              <w:rPr>
                <w:rFonts w:ascii="Arial" w:hAnsi="Arial" w:eastAsia="Arial" w:cs="Arial"/>
                <w:b/>
                <w:bCs/>
                <w:color w:val="5A5A5A"/>
                <w:sz w:val="20"/>
                <w:szCs w:val="20"/>
              </w:rPr>
              <w:t>Twitter / X</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59A4059E">
            <w:r>
              <w:rPr>
                <w:rFonts w:ascii="Arial" w:hAnsi="Arial" w:eastAsia="Arial" w:cs="Arial"/>
                <w:color w:val="1A1A1A"/>
                <w:sz w:val="20"/>
                <w:szCs w:val="20"/>
              </w:rPr>
              <w:t>x.com/yundan1216</w:t>
            </w:r>
          </w:p>
        </w:tc>
      </w:tr>
      <w:tr w14:paraId="5AE14CCA">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C2A0934">
            <w:r>
              <w:rPr>
                <w:rFonts w:ascii="Arial" w:hAnsi="Arial" w:eastAsia="Arial" w:cs="Arial"/>
                <w:b/>
                <w:bCs/>
                <w:color w:val="5A5A5A"/>
                <w:sz w:val="20"/>
                <w:szCs w:val="20"/>
              </w:rPr>
              <w:t>Deployed Networks</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4AA407D9">
            <w:r>
              <w:rPr>
                <w:rFonts w:ascii="Arial" w:hAnsi="Arial" w:eastAsia="Arial" w:cs="Arial"/>
                <w:color w:val="1A1A1A"/>
                <w:sz w:val="20"/>
                <w:szCs w:val="20"/>
              </w:rPr>
              <w:t>BNB Chain (LIVE)  ·  Mantle Sepolia (Testnet)</w:t>
            </w:r>
          </w:p>
        </w:tc>
      </w:tr>
      <w:tr w14:paraId="57A29D74">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767B205">
            <w:r>
              <w:rPr>
                <w:rFonts w:ascii="Arial" w:hAnsi="Arial" w:eastAsia="Arial" w:cs="Arial"/>
                <w:b/>
                <w:bCs/>
                <w:color w:val="5A5A5A"/>
                <w:sz w:val="20"/>
                <w:szCs w:val="20"/>
              </w:rPr>
              <w:t>Competitions</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15DB9EA1">
            <w:r>
              <w:rPr>
                <w:rFonts w:ascii="Arial" w:hAnsi="Arial" w:eastAsia="Arial" w:cs="Arial"/>
                <w:color w:val="1A1A1A"/>
                <w:sz w:val="20"/>
                <w:szCs w:val="20"/>
              </w:rPr>
              <w:t>Mantle Hackathon 2026  |  four.meme AI Sprint Top 10</w:t>
            </w:r>
          </w:p>
        </w:tc>
      </w:tr>
      <w:tr w14:paraId="7CCBADE2">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516F4A0">
            <w:r>
              <w:rPr>
                <w:rFonts w:ascii="Arial" w:hAnsi="Arial" w:eastAsia="Arial" w:cs="Arial"/>
                <w:b/>
                <w:bCs/>
                <w:color w:val="5A5A5A"/>
                <w:sz w:val="20"/>
                <w:szCs w:val="20"/>
              </w:rPr>
              <w:t>Document Version</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4846019E">
            <w:r>
              <w:rPr>
                <w:rFonts w:ascii="Arial" w:hAnsi="Arial" w:eastAsia="Arial" w:cs="Arial"/>
                <w:color w:val="1A1A1A"/>
                <w:sz w:val="20"/>
                <w:szCs w:val="20"/>
              </w:rPr>
              <w:t>v2.0  ·  May 2026</w:t>
            </w:r>
          </w:p>
        </w:tc>
      </w:tr>
    </w:tbl>
    <w:p w14:paraId="4EE139DD">
      <w:pPr>
        <w:spacing w:before="0" w:after="0"/>
      </w:pPr>
    </w:p>
    <w:p w14:paraId="1C525E81">
      <w:pPr>
        <w:spacing w:before="0" w:after="0"/>
      </w:pPr>
    </w:p>
    <w:p w14:paraId="7216BC70">
      <w:pPr>
        <w:jc w:val="center"/>
      </w:pPr>
      <w:r>
        <w:rPr>
          <w:rFonts w:ascii="Arial" w:hAnsi="Arial" w:eastAsia="Arial" w:cs="Arial"/>
          <w:i/>
          <w:iCs/>
          <w:color w:val="5A5A5A"/>
          <w:sz w:val="22"/>
          <w:szCs w:val="22"/>
        </w:rPr>
        <w:t>Any two parties. Any verifiable outcome. AI decides.</w:t>
      </w:r>
    </w:p>
    <w:p w14:paraId="0C3C5882">
      <w:r>
        <w:br w:type="page"/>
      </w:r>
    </w:p>
    <w:p w14:paraId="7689BA92">
      <w:pPr>
        <w:spacing w:before="0" w:after="240"/>
        <w:jc w:val="center"/>
      </w:pPr>
      <w:r>
        <w:rPr>
          <w:rFonts w:ascii="Arial" w:hAnsi="Arial" w:eastAsia="Arial" w:cs="Arial"/>
          <w:b/>
          <w:bCs/>
          <w:color w:val="1A1A1A"/>
          <w:sz w:val="32"/>
          <w:szCs w:val="32"/>
        </w:rPr>
        <w:t>Abstract</w:t>
      </w:r>
    </w:p>
    <w:p w14:paraId="6B4ECB03">
      <w:pPr>
        <w:spacing w:before="60" w:after="80" w:line="380" w:lineRule="auto"/>
        <w:jc w:val="both"/>
      </w:pPr>
      <w:r>
        <w:rPr>
          <w:rFonts w:ascii="Arial" w:hAnsi="Arial" w:eastAsia="Arial" w:cs="Arial"/>
          <w:b w:val="0"/>
          <w:bCs w:val="0"/>
          <w:i w:val="0"/>
          <w:iCs w:val="0"/>
          <w:color w:val="1A1A1A"/>
          <w:sz w:val="22"/>
          <w:szCs w:val="22"/>
        </w:rPr>
        <w:t>This document is the comprehensive product roadmap and business plan for Verdict Protocol, providing a complete account of the project's technical architecture, product suite, market positioning, business model, version roadmap, and future development strategy.</w:t>
      </w:r>
    </w:p>
    <w:p w14:paraId="1E7DB67D">
      <w:pPr>
        <w:spacing w:before="0" w:after="0"/>
      </w:pPr>
    </w:p>
    <w:p w14:paraId="1CACAF9C">
      <w:pPr>
        <w:spacing w:before="60" w:after="80" w:line="380" w:lineRule="auto"/>
        <w:jc w:val="both"/>
      </w:pPr>
      <w:r>
        <w:rPr>
          <w:rFonts w:ascii="Arial" w:hAnsi="Arial" w:eastAsia="Arial" w:cs="Arial"/>
          <w:b w:val="0"/>
          <w:bCs w:val="0"/>
          <w:i w:val="0"/>
          <w:iCs w:val="0"/>
          <w:color w:val="1A1A1A"/>
          <w:sz w:val="22"/>
          <w:szCs w:val="22"/>
        </w:rPr>
        <w:t>Verdict Protocol is an AI-powered on-chain intelligence layer consisting of three synergistic products: a Chrome browser extension for trading platforms, a Telegram Bot covering multi-chain data intelligence, and Protocol Bet, a decentralized on-chain wager protocol. All three products share a single AI Judge core, forming a complete loop from data acquisition and risk analysis through to on-chain settlement.</w:t>
      </w:r>
    </w:p>
    <w:p w14:paraId="627E68F0">
      <w:pPr>
        <w:spacing w:before="0" w:after="0"/>
      </w:pPr>
    </w:p>
    <w:p w14:paraId="7AA7F653">
      <w:pPr>
        <w:spacing w:before="60" w:after="80" w:line="380" w:lineRule="auto"/>
        <w:jc w:val="both"/>
      </w:pPr>
      <w:r>
        <w:rPr>
          <w:rFonts w:ascii="Arial" w:hAnsi="Arial" w:eastAsia="Arial" w:cs="Arial"/>
          <w:b w:val="0"/>
          <w:bCs w:val="0"/>
          <w:i w:val="0"/>
          <w:iCs w:val="0"/>
          <w:color w:val="1A1A1A"/>
          <w:sz w:val="22"/>
          <w:szCs w:val="22"/>
        </w:rPr>
        <w:t>The project completed Phase 1 on BNB Chain and achieved a Top 10 finish out of 196 entries in the four.meme AI Sprint, winning the Community Award. The team is currently participating in Mantle Hackathon 2026, with the protocol deployed on Mantle Sepolia testnet.</w:t>
      </w:r>
    </w:p>
    <w:p w14:paraId="6291FAC0">
      <w:pPr>
        <w:spacing w:before="0" w:after="0"/>
      </w:pPr>
    </w:p>
    <w:p w14:paraId="55DDB6A3">
      <w:pPr>
        <w:spacing w:before="60" w:after="80" w:line="380" w:lineRule="auto"/>
        <w:jc w:val="both"/>
      </w:pPr>
      <w:r>
        <w:rPr>
          <w:rFonts w:ascii="Arial" w:hAnsi="Arial" w:eastAsia="Arial" w:cs="Arial"/>
          <w:b w:val="0"/>
          <w:bCs w:val="0"/>
          <w:i w:val="0"/>
          <w:iCs w:val="0"/>
          <w:color w:val="1A1A1A"/>
          <w:sz w:val="22"/>
          <w:szCs w:val="22"/>
        </w:rPr>
        <w:t>This document covers: product architecture and technical design (Chapters 1–3), market analysis and competitive positioning (Chapters 4–5), version roadmap (Chapter 6), open ecosystem strategy including REST API and npm SDK (Chapter 7), business model and revenue projections (Chapter 8), risk analysis (Chapter 9), and strategic summary (Chapter 10).</w:t>
      </w:r>
    </w:p>
    <w:p w14:paraId="2D10A850">
      <w:pPr>
        <w:pBdr>
          <w:bottom w:val="single" w:color="DDDDDD" w:sz="4" w:space="1"/>
        </w:pBdr>
        <w:spacing w:before="240" w:after="240"/>
      </w:pPr>
    </w:p>
    <w:p w14:paraId="74D847EE">
      <w:pPr>
        <w:spacing w:before="0" w:after="80"/>
        <w:jc w:val="center"/>
      </w:pPr>
      <w:r>
        <w:rPr>
          <w:rFonts w:ascii="Arial" w:hAnsi="Arial" w:eastAsia="Arial" w:cs="Arial"/>
          <w:b/>
          <w:bCs/>
          <w:color w:val="5A5A5A"/>
          <w:sz w:val="20"/>
          <w:szCs w:val="20"/>
        </w:rPr>
        <w:t>Keywords</w:t>
      </w:r>
    </w:p>
    <w:p w14:paraId="6FBD156A">
      <w:pPr>
        <w:spacing w:before="0" w:after="0"/>
        <w:jc w:val="center"/>
      </w:pPr>
      <w:r>
        <w:rPr>
          <w:rFonts w:ascii="Arial" w:hAnsi="Arial" w:eastAsia="Arial" w:cs="Arial"/>
          <w:color w:val="5A5A5A"/>
          <w:sz w:val="20"/>
          <w:szCs w:val="20"/>
        </w:rPr>
        <w:t>AI Judge · On-Chain Wager · Protocol Bet · Mantle · BNB Chain · Decentralized Arbitration · npm SDK · REST API · Verdict Score</w:t>
      </w:r>
    </w:p>
    <w:p w14:paraId="57E9FB86">
      <w:r>
        <w:br w:type="page"/>
      </w:r>
    </w:p>
    <w:p w14:paraId="1484443F">
      <w:pPr>
        <w:pStyle w:val="2"/>
        <w:pBdr>
          <w:bottom w:val="single" w:color="C0392B" w:sz="12" w:space="6"/>
        </w:pBdr>
        <w:spacing w:before="560" w:after="200"/>
      </w:pPr>
      <w:r>
        <w:rPr>
          <w:rFonts w:ascii="Arial" w:hAnsi="Arial" w:eastAsia="Arial" w:cs="Arial"/>
          <w:b/>
          <w:bCs/>
          <w:color w:val="1A1A1A"/>
          <w:sz w:val="36"/>
          <w:szCs w:val="36"/>
        </w:rPr>
        <w:t>Chapter 1  Product Overview</w:t>
      </w:r>
    </w:p>
    <w:p w14:paraId="12282528">
      <w:pPr>
        <w:spacing w:before="60" w:after="80" w:line="380" w:lineRule="auto"/>
        <w:jc w:val="both"/>
      </w:pPr>
      <w:r>
        <w:rPr>
          <w:rFonts w:ascii="Arial" w:hAnsi="Arial" w:eastAsia="Arial" w:cs="Arial"/>
          <w:b w:val="0"/>
          <w:bCs w:val="0"/>
          <w:i w:val="0"/>
          <w:iCs w:val="0"/>
          <w:color w:val="1A1A1A"/>
          <w:sz w:val="22"/>
          <w:szCs w:val="22"/>
        </w:rPr>
        <w:t>The core proposition of Verdict Protocol is to bring the disputes and wager scenarios that pervade the real world onto the blockchain — in a trustless, permanently verifiable manner — through AI adjudication and smart contract technology.</w:t>
      </w:r>
    </w:p>
    <w:p w14:paraId="0029977A">
      <w:pPr>
        <w:pStyle w:val="3"/>
        <w:spacing w:before="360" w:after="160"/>
      </w:pPr>
      <w:r>
        <w:rPr>
          <w:rFonts w:ascii="Arial" w:hAnsi="Arial" w:eastAsia="Arial" w:cs="Arial"/>
          <w:b/>
          <w:bCs/>
          <w:color w:val="1A1A1A"/>
          <w:sz w:val="28"/>
          <w:szCs w:val="28"/>
        </w:rPr>
        <w:t>1.1  Product Matrix</w:t>
      </w:r>
    </w:p>
    <w:p w14:paraId="1492FD91">
      <w:pPr>
        <w:spacing w:before="60" w:after="80" w:line="380" w:lineRule="auto"/>
        <w:jc w:val="both"/>
      </w:pPr>
      <w:r>
        <w:rPr>
          <w:rFonts w:ascii="Arial" w:hAnsi="Arial" w:eastAsia="Arial" w:cs="Arial"/>
          <w:b w:val="0"/>
          <w:bCs w:val="0"/>
          <w:i w:val="0"/>
          <w:iCs w:val="0"/>
          <w:color w:val="1A1A1A"/>
          <w:sz w:val="22"/>
          <w:szCs w:val="22"/>
        </w:rPr>
        <w:t>Three products share a single AI Judge core, covering the browser layer, data layer, and protocol layer of the user experience to form a complete product ecosystem.</w:t>
      </w:r>
    </w:p>
    <w:p w14:paraId="61B1118D">
      <w:pPr>
        <w:spacing w:before="0" w:after="0"/>
      </w:pPr>
    </w:p>
    <w:p w14:paraId="3BA0B9F3">
      <w:pPr>
        <w:pStyle w:val="4"/>
        <w:spacing w:before="240" w:after="100"/>
      </w:pPr>
      <w:r>
        <w:rPr>
          <w:rFonts w:ascii="Arial" w:hAnsi="Arial" w:eastAsia="Arial" w:cs="Arial"/>
          <w:b/>
          <w:bCs/>
          <w:color w:val="C0392B"/>
          <w:sz w:val="24"/>
          <w:szCs w:val="24"/>
        </w:rPr>
        <w:t>1.1.1  Chrome Browser Extension</w:t>
      </w:r>
    </w:p>
    <w:p w14:paraId="2D09B7CA">
      <w:pPr>
        <w:spacing w:before="60" w:after="80" w:line="380" w:lineRule="auto"/>
        <w:jc w:val="both"/>
      </w:pPr>
      <w:r>
        <w:rPr>
          <w:rFonts w:ascii="Arial" w:hAnsi="Arial" w:eastAsia="Arial" w:cs="Arial"/>
          <w:b w:val="0"/>
          <w:bCs w:val="0"/>
          <w:i w:val="0"/>
          <w:iCs w:val="0"/>
          <w:color w:val="1A1A1A"/>
          <w:sz w:val="22"/>
          <w:szCs w:val="22"/>
        </w:rPr>
        <w:t>A plug-and-play AI token risk analysis extension, deeply integrated into four major trading data platforms: DexScreener, GMGN, four.meme, and Ave.ai. The extension automatically detects the contract address on the current page and delivers a multi-dimensional AI risk verdict panel within seconds — including BULLISH/BEARISH direction, confidence score, liquidity depth analysis, and holder concentration assessment. The product is positioned as a universal analysis tool for any token, not limited to Meme tokens.</w:t>
      </w:r>
    </w:p>
    <w:p w14:paraId="7C960C29">
      <w:pPr>
        <w:spacing w:before="0" w:after="0"/>
      </w:pPr>
    </w:p>
    <w:p w14:paraId="31F730DE">
      <w:pPr>
        <w:pStyle w:val="4"/>
        <w:spacing w:before="240" w:after="100"/>
      </w:pPr>
      <w:r>
        <w:rPr>
          <w:rFonts w:ascii="Arial" w:hAnsi="Arial" w:eastAsia="Arial" w:cs="Arial"/>
          <w:b/>
          <w:bCs/>
          <w:color w:val="C0392B"/>
          <w:sz w:val="24"/>
          <w:szCs w:val="24"/>
        </w:rPr>
        <w:t>1.1.2  Telegram Bot  @VerdictProtocol_Bot</w:t>
      </w:r>
    </w:p>
    <w:p w14:paraId="18A46CCD">
      <w:pPr>
        <w:spacing w:before="60" w:after="80" w:line="380" w:lineRule="auto"/>
        <w:jc w:val="both"/>
      </w:pPr>
      <w:r>
        <w:rPr>
          <w:rFonts w:ascii="Arial" w:hAnsi="Arial" w:eastAsia="Arial" w:cs="Arial"/>
          <w:b w:val="0"/>
          <w:bCs w:val="0"/>
          <w:i w:val="0"/>
          <w:iCs w:val="0"/>
          <w:color w:val="1A1A1A"/>
          <w:sz w:val="22"/>
          <w:szCs w:val="22"/>
        </w:rPr>
        <w:t>A multi-chain data intelligence Bot covering ETH, BNB Chain, Mantle, and other major EVM networks, offering the following core commands:</w:t>
      </w:r>
    </w:p>
    <w:p w14:paraId="3C26170A">
      <w:pPr>
        <w:pStyle w:val="16"/>
        <w:numPr>
          <w:ilvl w:val="0"/>
          <w:numId w:val="1"/>
        </w:numPr>
        <w:spacing w:before="60" w:after="60" w:line="360" w:lineRule="auto"/>
      </w:pPr>
      <w:r>
        <w:rPr>
          <w:rFonts w:ascii="Arial" w:hAnsi="Arial" w:eastAsia="Arial" w:cs="Arial"/>
          <w:color w:val="1A1A1A"/>
          <w:sz w:val="22"/>
          <w:szCs w:val="22"/>
        </w:rPr>
        <w:t>/scan &lt;address&gt;  —  AI deep wallet analysis: PnL, trading patterns, token holdings, behavioral fingerprint</w:t>
      </w:r>
    </w:p>
    <w:p w14:paraId="41DE9D07">
      <w:pPr>
        <w:pStyle w:val="16"/>
        <w:numPr>
          <w:ilvl w:val="0"/>
          <w:numId w:val="1"/>
        </w:numPr>
        <w:spacing w:before="60" w:after="60" w:line="360" w:lineRule="auto"/>
      </w:pPr>
      <w:r>
        <w:rPr>
          <w:rFonts w:ascii="Arial" w:hAnsi="Arial" w:eastAsia="Arial" w:cs="Arial"/>
          <w:color w:val="1A1A1A"/>
          <w:sz w:val="22"/>
          <w:szCs w:val="22"/>
        </w:rPr>
        <w:t>/compare &lt;addr1&gt; &lt;addr2&gt;  —  Side-by-side AI wallet comparison to determine relative trading performance</w:t>
      </w:r>
    </w:p>
    <w:p w14:paraId="60A087E0">
      <w:pPr>
        <w:pStyle w:val="16"/>
        <w:numPr>
          <w:ilvl w:val="0"/>
          <w:numId w:val="1"/>
        </w:numPr>
        <w:spacing w:before="60" w:after="60" w:line="360" w:lineRule="auto"/>
      </w:pPr>
      <w:r>
        <w:rPr>
          <w:rFonts w:ascii="Arial" w:hAnsi="Arial" w:eastAsia="Arial" w:cs="Arial"/>
          <w:color w:val="1A1A1A"/>
          <w:sz w:val="22"/>
          <w:szCs w:val="22"/>
        </w:rPr>
        <w:t>/whale [bnb|mantle]  —  Track large wallet movements on the specified chain</w:t>
      </w:r>
    </w:p>
    <w:p w14:paraId="012DFD88">
      <w:pPr>
        <w:pStyle w:val="16"/>
        <w:numPr>
          <w:ilvl w:val="0"/>
          <w:numId w:val="1"/>
        </w:numPr>
        <w:spacing w:before="60" w:after="60" w:line="360" w:lineRule="auto"/>
      </w:pPr>
      <w:r>
        <w:rPr>
          <w:rFonts w:ascii="Arial" w:hAnsi="Arial" w:eastAsia="Arial" w:cs="Arial"/>
          <w:color w:val="1A1A1A"/>
          <w:sz w:val="22"/>
          <w:szCs w:val="22"/>
        </w:rPr>
        <w:t>/price &lt;token&gt;  —  Real-time token price and 24-hour change</w:t>
      </w:r>
    </w:p>
    <w:p w14:paraId="522064B1">
      <w:pPr>
        <w:pStyle w:val="16"/>
        <w:numPr>
          <w:ilvl w:val="0"/>
          <w:numId w:val="1"/>
        </w:numPr>
        <w:spacing w:before="60" w:after="60" w:line="360" w:lineRule="auto"/>
      </w:pPr>
      <w:r>
        <w:rPr>
          <w:rFonts w:ascii="Arial" w:hAnsi="Arial" w:eastAsia="Arial" w:cs="Arial"/>
          <w:color w:val="1A1A1A"/>
          <w:sz w:val="22"/>
          <w:szCs w:val="22"/>
        </w:rPr>
        <w:t>/mantle  —  Live Mantle ecosystem data: TVL, active protocols, top gainers</w:t>
      </w:r>
    </w:p>
    <w:p w14:paraId="4AD03738">
      <w:pPr>
        <w:pStyle w:val="16"/>
        <w:numPr>
          <w:ilvl w:val="0"/>
          <w:numId w:val="1"/>
        </w:numPr>
        <w:spacing w:before="60" w:after="60" w:line="360" w:lineRule="auto"/>
      </w:pPr>
      <w:r>
        <w:rPr>
          <w:rFonts w:ascii="Arial" w:hAnsi="Arial" w:eastAsia="Arial" w:cs="Arial"/>
          <w:color w:val="1A1A1A"/>
          <w:sz w:val="22"/>
          <w:szCs w:val="22"/>
        </w:rPr>
        <w:t>/watch &lt;address&gt;  —  Wallet movement monitoring; auto-pushes notifications when Protocol Bet duel status changes</w:t>
      </w:r>
    </w:p>
    <w:p w14:paraId="68BCDCC8">
      <w:pPr>
        <w:spacing w:before="0" w:after="0"/>
      </w:pPr>
    </w:p>
    <w:p w14:paraId="564F9AC7">
      <w:pPr>
        <w:pStyle w:val="4"/>
        <w:spacing w:before="240" w:after="100"/>
      </w:pPr>
      <w:r>
        <w:rPr>
          <w:rFonts w:ascii="Arial" w:hAnsi="Arial" w:eastAsia="Arial" w:cs="Arial"/>
          <w:b/>
          <w:bCs/>
          <w:color w:val="C0392B"/>
          <w:sz w:val="24"/>
          <w:szCs w:val="24"/>
        </w:rPr>
        <w:t>1.1.3  Protocol Bet  —  On-Chain Wager Protocol</w:t>
      </w:r>
    </w:p>
    <w:p w14:paraId="7F7C1D9C">
      <w:pPr>
        <w:spacing w:before="60" w:after="80" w:line="380" w:lineRule="auto"/>
        <w:jc w:val="both"/>
      </w:pPr>
      <w:r>
        <w:rPr>
          <w:rFonts w:ascii="Arial" w:hAnsi="Arial" w:eastAsia="Arial" w:cs="Arial"/>
          <w:b w:val="0"/>
          <w:bCs w:val="0"/>
          <w:i w:val="0"/>
          <w:iCs w:val="0"/>
          <w:color w:val="1A1A1A"/>
          <w:sz w:val="22"/>
          <w:szCs w:val="22"/>
        </w:rPr>
        <w:t>A decentralized peer-to-peer on-chain wager protocol. Any two parties may initiate a wager on any verifiable outcome. Funds are held entirely in escrow by the smart contract, settled automatically through a three-layer dispute resolution mechanism — no trusted third party required.</w:t>
      </w:r>
    </w:p>
    <w:p w14:paraId="4038A687">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886DFDB">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952CDCB">
            <w:r>
              <w:rPr>
                <w:rFonts w:ascii="Arial" w:hAnsi="Arial" w:eastAsia="Arial" w:cs="Arial"/>
                <w:b/>
                <w:bCs/>
                <w:color w:val="5A5A5A"/>
                <w:sz w:val="20"/>
                <w:szCs w:val="20"/>
              </w:rPr>
              <w:t>Contract Language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23A68DB6">
            <w:r>
              <w:rPr>
                <w:rFonts w:ascii="Arial" w:hAnsi="Arial" w:eastAsia="Arial" w:cs="Arial"/>
                <w:color w:val="1A1A1A"/>
                <w:sz w:val="20"/>
                <w:szCs w:val="20"/>
              </w:rPr>
              <w:t>Solidity 0.8.23</w:t>
            </w:r>
          </w:p>
        </w:tc>
      </w:tr>
      <w:tr w14:paraId="2F90F99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59CF687">
            <w:r>
              <w:rPr>
                <w:rFonts w:ascii="Arial" w:hAnsi="Arial" w:eastAsia="Arial" w:cs="Arial"/>
                <w:b/>
                <w:bCs/>
                <w:color w:val="5A5A5A"/>
                <w:sz w:val="20"/>
                <w:szCs w:val="20"/>
              </w:rPr>
              <w:t>Deployed Networks</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746714C9">
            <w:r>
              <w:rPr>
                <w:rFonts w:ascii="Arial" w:hAnsi="Arial" w:eastAsia="Arial" w:cs="Arial"/>
                <w:color w:val="1A1A1A"/>
                <w:sz w:val="20"/>
                <w:szCs w:val="20"/>
              </w:rPr>
              <w:t>Mantle Sepolia Testnet  ·  BNB Testnet</w:t>
            </w:r>
          </w:p>
        </w:tc>
      </w:tr>
      <w:tr w14:paraId="0A9EF4D0">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39357FF">
            <w:r>
              <w:rPr>
                <w:rFonts w:ascii="Arial" w:hAnsi="Arial" w:eastAsia="Arial" w:cs="Arial"/>
                <w:b/>
                <w:bCs/>
                <w:color w:val="5A5A5A"/>
                <w:sz w:val="20"/>
                <w:szCs w:val="20"/>
              </w:rPr>
              <w:t>Mantle Sepolia Contract</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396597B">
            <w:r>
              <w:rPr>
                <w:rFonts w:ascii="Arial" w:hAnsi="Arial" w:eastAsia="Arial" w:cs="Arial"/>
                <w:color w:val="1A1A1A"/>
                <w:sz w:val="20"/>
                <w:szCs w:val="20"/>
              </w:rPr>
              <w:t>0xE731a80668Ad0439a6B55e57f65C1D7885827566</w:t>
            </w:r>
          </w:p>
        </w:tc>
      </w:tr>
      <w:tr w14:paraId="42953609">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BE08DDA">
            <w:r>
              <w:rPr>
                <w:rFonts w:ascii="Arial" w:hAnsi="Arial" w:eastAsia="Arial" w:cs="Arial"/>
                <w:b/>
                <w:bCs/>
                <w:color w:val="5A5A5A"/>
                <w:sz w:val="20"/>
                <w:szCs w:val="20"/>
              </w:rPr>
              <w:t>BNB Testnet Contract</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799773B">
            <w:r>
              <w:rPr>
                <w:rFonts w:ascii="Arial" w:hAnsi="Arial" w:eastAsia="Arial" w:cs="Arial"/>
                <w:color w:val="1A1A1A"/>
                <w:sz w:val="20"/>
                <w:szCs w:val="20"/>
              </w:rPr>
              <w:t>0xa0A997cF05F7Baf21becEA4130209fD7C7D1A994</w:t>
            </w:r>
          </w:p>
        </w:tc>
      </w:tr>
      <w:tr w14:paraId="2B058FD7">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E199004">
            <w:r>
              <w:rPr>
                <w:rFonts w:ascii="Arial" w:hAnsi="Arial" w:eastAsia="Arial" w:cs="Arial"/>
                <w:b/>
                <w:bCs/>
                <w:color w:val="5A5A5A"/>
                <w:sz w:val="20"/>
                <w:szCs w:val="20"/>
              </w:rPr>
              <w:t>Protocol Fee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26A7BE30">
            <w:r>
              <w:rPr>
                <w:rFonts w:ascii="Arial" w:hAnsi="Arial" w:eastAsia="Arial" w:cs="Arial"/>
                <w:color w:val="1A1A1A"/>
                <w:sz w:val="20"/>
                <w:szCs w:val="20"/>
              </w:rPr>
              <w:t>2% (auto-deducted on each settlement, sent to treasury address)</w:t>
            </w:r>
          </w:p>
        </w:tc>
      </w:tr>
      <w:tr w14:paraId="55DACC0B">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3E4219D">
            <w:r>
              <w:rPr>
                <w:rFonts w:ascii="Arial" w:hAnsi="Arial" w:eastAsia="Arial" w:cs="Arial"/>
                <w:b/>
                <w:bCs/>
                <w:color w:val="5A5A5A"/>
                <w:sz w:val="20"/>
                <w:szCs w:val="20"/>
              </w:rPr>
              <w:t>Winner Payout Formula</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D17E040">
            <w:r>
              <w:rPr>
                <w:rFonts w:ascii="Arial" w:hAnsi="Arial" w:eastAsia="Arial" w:cs="Arial"/>
                <w:color w:val="1A1A1A"/>
                <w:sz w:val="20"/>
                <w:szCs w:val="20"/>
              </w:rPr>
              <w:t>Stake × 2 × 98%</w:t>
            </w:r>
          </w:p>
        </w:tc>
      </w:tr>
      <w:tr w14:paraId="34A4463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666367F">
            <w:r>
              <w:rPr>
                <w:rFonts w:ascii="Arial" w:hAnsi="Arial" w:eastAsia="Arial" w:cs="Arial"/>
                <w:b/>
                <w:bCs/>
                <w:color w:val="5A5A5A"/>
                <w:sz w:val="20"/>
                <w:szCs w:val="20"/>
              </w:rPr>
              <w:t>Dispute Window</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4190C88F">
            <w:r>
              <w:rPr>
                <w:rFonts w:ascii="Arial" w:hAnsi="Arial" w:eastAsia="Arial" w:cs="Arial"/>
                <w:color w:val="1A1A1A"/>
                <w:sz w:val="20"/>
                <w:szCs w:val="20"/>
              </w:rPr>
              <w:t>48 hours</w:t>
            </w:r>
          </w:p>
        </w:tc>
      </w:tr>
      <w:tr w14:paraId="67757B0F">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5BFFE58">
            <w:r>
              <w:rPr>
                <w:rFonts w:ascii="Arial" w:hAnsi="Arial" w:eastAsia="Arial" w:cs="Arial"/>
                <w:b/>
                <w:bCs/>
                <w:color w:val="5A5A5A"/>
                <w:sz w:val="20"/>
                <w:szCs w:val="20"/>
              </w:rPr>
              <w:t>Frontend dApp</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E3205F6">
            <w:r>
              <w:rPr>
                <w:rFonts w:ascii="Arial" w:hAnsi="Arial" w:eastAsia="Arial" w:cs="Arial"/>
                <w:color w:val="1A1A1A"/>
                <w:sz w:val="20"/>
                <w:szCs w:val="20"/>
              </w:rPr>
              <w:t>verdictprotocol.online (Next.js 16 · wagmi · RainbowKit)</w:t>
            </w:r>
          </w:p>
        </w:tc>
      </w:tr>
    </w:tbl>
    <w:p w14:paraId="4A93F34D">
      <w:pPr>
        <w:pStyle w:val="3"/>
        <w:spacing w:before="360" w:after="160"/>
      </w:pPr>
      <w:r>
        <w:rPr>
          <w:rFonts w:ascii="Arial" w:hAnsi="Arial" w:eastAsia="Arial" w:cs="Arial"/>
          <w:b/>
          <w:bCs/>
          <w:color w:val="1A1A1A"/>
          <w:sz w:val="28"/>
          <w:szCs w:val="28"/>
        </w:rPr>
        <w:t>1.2  Core Value Proposition</w:t>
      </w:r>
    </w:p>
    <w:p w14:paraId="6F23948F">
      <w:pPr>
        <w:spacing w:before="60" w:after="80" w:line="380" w:lineRule="auto"/>
        <w:jc w:val="both"/>
      </w:pPr>
      <w:r>
        <w:rPr>
          <w:rFonts w:ascii="Arial" w:hAnsi="Arial" w:eastAsia="Arial" w:cs="Arial"/>
          <w:b w:val="0"/>
          <w:bCs w:val="0"/>
          <w:i w:val="0"/>
          <w:iCs w:val="0"/>
          <w:color w:val="1A1A1A"/>
          <w:sz w:val="22"/>
          <w:szCs w:val="22"/>
        </w:rPr>
        <w:t>Verdict Protocol's differentiated value lies in achieving three goals simultaneously: first, any topic can be adjudicated, breaking the dependence of traditional prediction markets on on-chain oracles; second, AI Judge transforms unstructured natural-language disputes into on-chain verifiable machine rulings; third, the three products form a traffic loop — users of any one product can be naturally directed to the other two.</w:t>
      </w:r>
    </w:p>
    <w:p w14:paraId="13C91B80">
      <w:r>
        <w:br w:type="page"/>
      </w:r>
    </w:p>
    <w:p w14:paraId="5049C0DD">
      <w:pPr>
        <w:pStyle w:val="2"/>
        <w:pBdr>
          <w:bottom w:val="single" w:color="C0392B" w:sz="12" w:space="6"/>
        </w:pBdr>
        <w:spacing w:before="560" w:after="200"/>
      </w:pPr>
      <w:r>
        <w:rPr>
          <w:rFonts w:ascii="Arial" w:hAnsi="Arial" w:eastAsia="Arial" w:cs="Arial"/>
          <w:b/>
          <w:bCs/>
          <w:color w:val="1A1A1A"/>
          <w:sz w:val="36"/>
          <w:szCs w:val="36"/>
        </w:rPr>
        <w:t>Chapter 2  AI Judge Agent — Technical Architecture</w:t>
      </w:r>
    </w:p>
    <w:p w14:paraId="690D1AAA">
      <w:pPr>
        <w:spacing w:before="60" w:after="80" w:line="380" w:lineRule="auto"/>
        <w:jc w:val="both"/>
      </w:pPr>
      <w:r>
        <w:rPr>
          <w:rFonts w:ascii="Arial" w:hAnsi="Arial" w:eastAsia="Arial" w:cs="Arial"/>
          <w:b w:val="0"/>
          <w:bCs w:val="0"/>
          <w:i w:val="0"/>
          <w:iCs w:val="0"/>
          <w:color w:val="1A1A1A"/>
          <w:sz w:val="22"/>
          <w:szCs w:val="22"/>
        </w:rPr>
        <w:t>AI Judge is the technical core of Verdict Protocol and the fundamental differentiator from all existing competitors. This chapter provides a detailed account of its design principles, reasoning pipeline, and protective mechanisms.</w:t>
      </w:r>
    </w:p>
    <w:p w14:paraId="703D4142">
      <w:pPr>
        <w:pStyle w:val="3"/>
        <w:spacing w:before="360" w:after="160"/>
      </w:pPr>
      <w:r>
        <w:rPr>
          <w:rFonts w:ascii="Arial" w:hAnsi="Arial" w:eastAsia="Arial" w:cs="Arial"/>
          <w:b/>
          <w:bCs/>
          <w:color w:val="1A1A1A"/>
          <w:sz w:val="28"/>
          <w:szCs w:val="28"/>
        </w:rPr>
        <w:t>2.1  Design Philosophy</w:t>
      </w:r>
    </w:p>
    <w:p w14:paraId="016775C3">
      <w:pPr>
        <w:spacing w:before="60" w:after="80" w:line="380" w:lineRule="auto"/>
        <w:jc w:val="both"/>
      </w:pPr>
      <w:r>
        <w:rPr>
          <w:rFonts w:ascii="Arial" w:hAnsi="Arial" w:eastAsia="Arial" w:cs="Arial"/>
          <w:b w:val="0"/>
          <w:bCs w:val="0"/>
          <w:i w:val="0"/>
          <w:iCs w:val="0"/>
          <w:color w:val="1A1A1A"/>
          <w:sz w:val="22"/>
          <w:szCs w:val="22"/>
        </w:rPr>
        <w:t>Existing on-chain wager and prediction market products rely primarily on three adjudication approaches: centralized oracles (requiring trust in third-party data sources), decentralized governance voting (long decision cycles, high costs), and support only for on-chain verifiable events (severely limited use cases).</w:t>
      </w:r>
    </w:p>
    <w:p w14:paraId="6D2A1EF6">
      <w:pPr>
        <w:spacing w:before="60" w:after="80" w:line="380" w:lineRule="auto"/>
        <w:jc w:val="both"/>
      </w:pPr>
      <w:r>
        <w:rPr>
          <w:rFonts w:ascii="Arial" w:hAnsi="Arial" w:eastAsia="Arial" w:cs="Arial"/>
          <w:b w:val="0"/>
          <w:bCs w:val="0"/>
          <w:i w:val="0"/>
          <w:iCs w:val="0"/>
          <w:color w:val="1A1A1A"/>
          <w:sz w:val="22"/>
          <w:szCs w:val="22"/>
        </w:rPr>
        <w:t>AI Judge is designed to realize a fourth approach: transforming unstructured natural-language dispute descriptions and arbitrary-format evidence into confidence-quantified rulings through LLM-driven chain-of-thought reasoning, automatically triggering on-chain settlement when confidence exceeds the threshold. This approach fundamentally breaks through the boundaries of traditional solutions.</w:t>
      </w:r>
    </w:p>
    <w:p w14:paraId="0E0948CB">
      <w:pPr>
        <w:pStyle w:val="3"/>
        <w:spacing w:before="360" w:after="160"/>
      </w:pPr>
      <w:r>
        <w:rPr>
          <w:rFonts w:ascii="Arial" w:hAnsi="Arial" w:eastAsia="Arial" w:cs="Arial"/>
          <w:b/>
          <w:bCs/>
          <w:color w:val="1A1A1A"/>
          <w:sz w:val="28"/>
          <w:szCs w:val="28"/>
        </w:rPr>
        <w:t>2.2  Four-Step Chain-of-Thought Reasoning Pipeline</w:t>
      </w:r>
    </w:p>
    <w:p w14:paraId="378A922B">
      <w:pPr>
        <w:spacing w:before="60" w:after="80" w:line="380" w:lineRule="auto"/>
        <w:jc w:val="both"/>
      </w:pPr>
      <w:r>
        <w:rPr>
          <w:rFonts w:ascii="Arial" w:hAnsi="Arial" w:eastAsia="Arial" w:cs="Arial"/>
          <w:b w:val="0"/>
          <w:bCs w:val="0"/>
          <w:i w:val="0"/>
          <w:iCs w:val="0"/>
          <w:color w:val="1A1A1A"/>
          <w:sz w:val="22"/>
          <w:szCs w:val="22"/>
        </w:rPr>
        <w:t>AI Judge is built on the LLM and follows a strict four-step Chain-of-Thought reasoning paradigm, with structured output constraints at each step:</w:t>
      </w:r>
    </w:p>
    <w:p w14:paraId="73CB9009">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400"/>
        <w:gridCol w:w="4560"/>
        <w:gridCol w:w="2500"/>
      </w:tblGrid>
      <w:tr w14:paraId="0642CD4C">
        <w:tc>
          <w:tcPr>
            <w:tcW w:w="9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DAD286A">
            <w:pPr>
              <w:jc w:val="center"/>
            </w:pPr>
            <w:r>
              <w:rPr>
                <w:rFonts w:ascii="Arial" w:hAnsi="Arial" w:eastAsia="Arial" w:cs="Arial"/>
                <w:b/>
                <w:bCs/>
                <w:color w:val="FFFFFF"/>
                <w:sz w:val="20"/>
                <w:szCs w:val="20"/>
              </w:rPr>
              <w:t>Step</w:t>
            </w:r>
          </w:p>
        </w:tc>
        <w:tc>
          <w:tcPr>
            <w:tcW w:w="1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79583863">
            <w:pPr>
              <w:jc w:val="center"/>
            </w:pPr>
            <w:r>
              <w:rPr>
                <w:rFonts w:ascii="Arial" w:hAnsi="Arial" w:eastAsia="Arial" w:cs="Arial"/>
                <w:b/>
                <w:bCs/>
                <w:color w:val="FFFFFF"/>
                <w:sz w:val="20"/>
                <w:szCs w:val="20"/>
              </w:rPr>
              <w:t>Name</w:t>
            </w:r>
          </w:p>
        </w:tc>
        <w:tc>
          <w:tcPr>
            <w:tcW w:w="45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4F189406">
            <w:pPr>
              <w:jc w:val="center"/>
            </w:pPr>
            <w:r>
              <w:rPr>
                <w:rFonts w:ascii="Arial" w:hAnsi="Arial" w:eastAsia="Arial" w:cs="Arial"/>
                <w:b/>
                <w:bCs/>
                <w:color w:val="FFFFFF"/>
                <w:sz w:val="20"/>
                <w:szCs w:val="20"/>
              </w:rPr>
              <w:t>Core Task</w:t>
            </w:r>
          </w:p>
        </w:tc>
        <w:tc>
          <w:tcPr>
            <w:tcW w:w="25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4248B0A">
            <w:pPr>
              <w:jc w:val="center"/>
            </w:pPr>
            <w:r>
              <w:rPr>
                <w:rFonts w:ascii="Arial" w:hAnsi="Arial" w:eastAsia="Arial" w:cs="Arial"/>
                <w:b/>
                <w:bCs/>
                <w:color w:val="FFFFFF"/>
                <w:sz w:val="20"/>
                <w:szCs w:val="20"/>
              </w:rPr>
              <w:t>Output</w:t>
            </w:r>
          </w:p>
        </w:tc>
      </w:tr>
      <w:tr w14:paraId="430A15A9">
        <w:tc>
          <w:tcPr>
            <w:tcW w:w="9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8EBF1B6">
            <w:pPr>
              <w:jc w:val="left"/>
            </w:pPr>
            <w:r>
              <w:rPr>
                <w:rFonts w:ascii="Arial" w:hAnsi="Arial" w:eastAsia="Arial" w:cs="Arial"/>
                <w:color w:val="1A1A1A"/>
                <w:sz w:val="20"/>
                <w:szCs w:val="20"/>
              </w:rPr>
              <w:t>Step 01</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1443CB6">
            <w:pPr>
              <w:jc w:val="left"/>
            </w:pPr>
            <w:r>
              <w:rPr>
                <w:rFonts w:ascii="Arial" w:hAnsi="Arial" w:eastAsia="Arial" w:cs="Arial"/>
                <w:color w:val="1A1A1A"/>
                <w:sz w:val="20"/>
                <w:szCs w:val="20"/>
              </w:rPr>
              <w:t>Case Analysis</w:t>
            </w:r>
          </w:p>
        </w:tc>
        <w:tc>
          <w:tcPr>
            <w:tcW w:w="4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6EA4F5C">
            <w:pPr>
              <w:jc w:val="left"/>
            </w:pPr>
            <w:r>
              <w:rPr>
                <w:rFonts w:ascii="Arial" w:hAnsi="Arial" w:eastAsia="Arial" w:cs="Arial"/>
                <w:color w:val="1A1A1A"/>
                <w:sz w:val="20"/>
                <w:szCs w:val="20"/>
              </w:rPr>
              <w:t>Identify dispute type; extract verifiable conditions from the claim; define ruling standard and evaluation dimensions</w:t>
            </w:r>
          </w:p>
        </w:tc>
        <w:tc>
          <w:tcPr>
            <w:tcW w:w="2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D0F4535">
            <w:pPr>
              <w:jc w:val="left"/>
            </w:pPr>
            <w:r>
              <w:rPr>
                <w:rFonts w:ascii="Arial" w:hAnsi="Arial" w:eastAsia="Arial" w:cs="Arial"/>
                <w:color w:val="1A1A1A"/>
                <w:sz w:val="20"/>
                <w:szCs w:val="20"/>
              </w:rPr>
              <w:t>Structured dispute description + ruling standard</w:t>
            </w:r>
          </w:p>
        </w:tc>
      </w:tr>
      <w:tr w14:paraId="56A62082">
        <w:tc>
          <w:tcPr>
            <w:tcW w:w="9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A0A3152">
            <w:pPr>
              <w:jc w:val="left"/>
            </w:pPr>
            <w:r>
              <w:rPr>
                <w:rFonts w:ascii="Arial" w:hAnsi="Arial" w:eastAsia="Arial" w:cs="Arial"/>
                <w:color w:val="1A1A1A"/>
                <w:sz w:val="20"/>
                <w:szCs w:val="20"/>
              </w:rPr>
              <w:t>Step 02</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366C94A">
            <w:pPr>
              <w:jc w:val="left"/>
            </w:pPr>
            <w:r>
              <w:rPr>
                <w:rFonts w:ascii="Arial" w:hAnsi="Arial" w:eastAsia="Arial" w:cs="Arial"/>
                <w:color w:val="1A1A1A"/>
                <w:sz w:val="20"/>
                <w:szCs w:val="20"/>
              </w:rPr>
              <w:t>Evidence Review</w:t>
            </w:r>
          </w:p>
        </w:tc>
        <w:tc>
          <w:tcPr>
            <w:tcW w:w="4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5BC9C07">
            <w:pPr>
              <w:jc w:val="left"/>
            </w:pPr>
            <w:r>
              <w:rPr>
                <w:rFonts w:ascii="Arial" w:hAnsi="Arial" w:eastAsia="Arial" w:cs="Arial"/>
                <w:color w:val="1A1A1A"/>
                <w:sz w:val="20"/>
                <w:szCs w:val="20"/>
              </w:rPr>
              <w:t>Fetch submitted link content; assign credibility scores (Level 0–5) by source type; filter subjective claims</w:t>
            </w:r>
          </w:p>
        </w:tc>
        <w:tc>
          <w:tcPr>
            <w:tcW w:w="2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AEEB4A4">
            <w:pPr>
              <w:jc w:val="left"/>
            </w:pPr>
            <w:r>
              <w:rPr>
                <w:rFonts w:ascii="Arial" w:hAnsi="Arial" w:eastAsia="Arial" w:cs="Arial"/>
                <w:color w:val="1A1A1A"/>
                <w:sz w:val="20"/>
                <w:szCs w:val="20"/>
              </w:rPr>
              <w:t>Credibility score list for each piece of evidence</w:t>
            </w:r>
          </w:p>
        </w:tc>
      </w:tr>
      <w:tr w14:paraId="0EA45B18">
        <w:tc>
          <w:tcPr>
            <w:tcW w:w="9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6F8812B">
            <w:pPr>
              <w:jc w:val="left"/>
            </w:pPr>
            <w:r>
              <w:rPr>
                <w:rFonts w:ascii="Arial" w:hAnsi="Arial" w:eastAsia="Arial" w:cs="Arial"/>
                <w:color w:val="1A1A1A"/>
                <w:sz w:val="20"/>
                <w:szCs w:val="20"/>
              </w:rPr>
              <w:t>Step 03</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D68090F">
            <w:pPr>
              <w:jc w:val="left"/>
            </w:pPr>
            <w:r>
              <w:rPr>
                <w:rFonts w:ascii="Arial" w:hAnsi="Arial" w:eastAsia="Arial" w:cs="Arial"/>
                <w:color w:val="1A1A1A"/>
                <w:sz w:val="20"/>
                <w:szCs w:val="20"/>
              </w:rPr>
              <w:t>Condition Analysis</w:t>
            </w:r>
          </w:p>
        </w:tc>
        <w:tc>
          <w:tcPr>
            <w:tcW w:w="4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7C9D75B">
            <w:pPr>
              <w:jc w:val="left"/>
            </w:pPr>
            <w:r>
              <w:rPr>
                <w:rFonts w:ascii="Arial" w:hAnsi="Arial" w:eastAsia="Arial" w:cs="Arial"/>
                <w:color w:val="1A1A1A"/>
                <w:sz w:val="20"/>
                <w:szCs w:val="20"/>
              </w:rPr>
              <w:t>Cross-reference each piece of evidence against the ruling standard; label supporting and opposing items; identify contradictions</w:t>
            </w:r>
          </w:p>
        </w:tc>
        <w:tc>
          <w:tcPr>
            <w:tcW w:w="2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6713952">
            <w:pPr>
              <w:jc w:val="left"/>
            </w:pPr>
            <w:r>
              <w:rPr>
                <w:rFonts w:ascii="Arial" w:hAnsi="Arial" w:eastAsia="Arial" w:cs="Arial"/>
                <w:color w:val="1A1A1A"/>
                <w:sz w:val="20"/>
                <w:szCs w:val="20"/>
              </w:rPr>
              <w:t>Supporting/opposing evidence classification</w:t>
            </w:r>
          </w:p>
        </w:tc>
      </w:tr>
      <w:tr w14:paraId="45C24329">
        <w:tc>
          <w:tcPr>
            <w:tcW w:w="9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7B7B790">
            <w:pPr>
              <w:jc w:val="left"/>
            </w:pPr>
            <w:r>
              <w:rPr>
                <w:rFonts w:ascii="Arial" w:hAnsi="Arial" w:eastAsia="Arial" w:cs="Arial"/>
                <w:color w:val="1A1A1A"/>
                <w:sz w:val="20"/>
                <w:szCs w:val="20"/>
              </w:rPr>
              <w:t>Step 04</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0E2BED2">
            <w:pPr>
              <w:jc w:val="left"/>
            </w:pPr>
            <w:r>
              <w:rPr>
                <w:rFonts w:ascii="Arial" w:hAnsi="Arial" w:eastAsia="Arial" w:cs="Arial"/>
                <w:color w:val="1A1A1A"/>
                <w:sz w:val="20"/>
                <w:szCs w:val="20"/>
              </w:rPr>
              <w:t>Final Ruling</w:t>
            </w:r>
          </w:p>
        </w:tc>
        <w:tc>
          <w:tcPr>
            <w:tcW w:w="4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9C7F67A">
            <w:pPr>
              <w:jc w:val="left"/>
            </w:pPr>
            <w:r>
              <w:rPr>
                <w:rFonts w:ascii="Arial" w:hAnsi="Arial" w:eastAsia="Arial" w:cs="Arial"/>
                <w:color w:val="1A1A1A"/>
                <w:sz w:val="20"/>
                <w:szCs w:val="20"/>
              </w:rPr>
              <w:t>Calculate weighted composite score; output confidence percentage; trigger settlement or return Insufficient status</w:t>
            </w:r>
          </w:p>
        </w:tc>
        <w:tc>
          <w:tcPr>
            <w:tcW w:w="2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C604303">
            <w:pPr>
              <w:jc w:val="left"/>
            </w:pPr>
            <w:r>
              <w:rPr>
                <w:rFonts w:ascii="Arial" w:hAnsi="Arial" w:eastAsia="Arial" w:cs="Arial"/>
                <w:color w:val="1A1A1A"/>
                <w:sz w:val="20"/>
                <w:szCs w:val="20"/>
              </w:rPr>
              <w:t>Ruling direction + confidence + reasoning summary</w:t>
            </w:r>
          </w:p>
        </w:tc>
      </w:tr>
    </w:tbl>
    <w:p w14:paraId="54F47303">
      <w:pPr>
        <w:spacing w:before="0" w:after="0"/>
      </w:pPr>
    </w:p>
    <w:p w14:paraId="54F88B57">
      <w:pPr>
        <w:pStyle w:val="4"/>
        <w:spacing w:before="240" w:after="100"/>
      </w:pPr>
      <w:r>
        <w:rPr>
          <w:rFonts w:ascii="Arial" w:hAnsi="Arial" w:eastAsia="Arial" w:cs="Arial"/>
          <w:b/>
          <w:bCs/>
          <w:color w:val="C0392B"/>
          <w:sz w:val="24"/>
          <w:szCs w:val="24"/>
        </w:rPr>
        <w:t>2.2.1  Evidence Credibility Hierarchy</w:t>
      </w:r>
    </w:p>
    <w:p w14:paraId="12664D02">
      <w:pPr>
        <w:spacing w:before="60" w:after="80" w:line="380" w:lineRule="auto"/>
        <w:jc w:val="both"/>
      </w:pPr>
      <w:r>
        <w:rPr>
          <w:rFonts w:ascii="Arial" w:hAnsi="Arial" w:eastAsia="Arial" w:cs="Arial"/>
          <w:b w:val="0"/>
          <w:bCs w:val="0"/>
          <w:i w:val="0"/>
          <w:iCs w:val="0"/>
          <w:color w:val="1A1A1A"/>
          <w:sz w:val="22"/>
          <w:szCs w:val="22"/>
        </w:rPr>
        <w:t>The evidence credibility hierarchy is one of the core designs of AI Judge. Through systematic assessment of evidence sources, it prevents low-quality evidence from contaminating the ruling outcome:</w:t>
      </w:r>
    </w:p>
    <w:p w14:paraId="24926065">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400"/>
        <w:gridCol w:w="5960"/>
      </w:tblGrid>
      <w:tr w14:paraId="6E1EE4F1">
        <w:tc>
          <w:tcPr>
            <w:tcW w:w="1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5A55BF62">
            <w:pPr>
              <w:jc w:val="center"/>
            </w:pPr>
            <w:r>
              <w:rPr>
                <w:rFonts w:ascii="Arial" w:hAnsi="Arial" w:eastAsia="Arial" w:cs="Arial"/>
                <w:b/>
                <w:bCs/>
                <w:color w:val="FFFFFF"/>
                <w:sz w:val="20"/>
                <w:szCs w:val="20"/>
              </w:rPr>
              <w:t>Level</w:t>
            </w:r>
          </w:p>
        </w:tc>
        <w:tc>
          <w:tcPr>
            <w:tcW w:w="2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3E3390B">
            <w:pPr>
              <w:jc w:val="center"/>
            </w:pPr>
            <w:r>
              <w:rPr>
                <w:rFonts w:ascii="Arial" w:hAnsi="Arial" w:eastAsia="Arial" w:cs="Arial"/>
                <w:b/>
                <w:bCs/>
                <w:color w:val="FFFFFF"/>
                <w:sz w:val="20"/>
                <w:szCs w:val="20"/>
              </w:rPr>
              <w:t>Source Type</w:t>
            </w:r>
          </w:p>
        </w:tc>
        <w:tc>
          <w:tcPr>
            <w:tcW w:w="59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ABFD5DA">
            <w:pPr>
              <w:jc w:val="center"/>
            </w:pPr>
            <w:r>
              <w:rPr>
                <w:rFonts w:ascii="Arial" w:hAnsi="Arial" w:eastAsia="Arial" w:cs="Arial"/>
                <w:b/>
                <w:bCs/>
                <w:color w:val="FFFFFF"/>
                <w:sz w:val="20"/>
                <w:szCs w:val="20"/>
              </w:rPr>
              <w:t>Description</w:t>
            </w:r>
          </w:p>
        </w:tc>
      </w:tr>
      <w:tr w14:paraId="440A9302">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C3F22E0">
            <w:pPr>
              <w:jc w:val="left"/>
            </w:pPr>
            <w:r>
              <w:rPr>
                <w:rFonts w:ascii="Arial" w:hAnsi="Arial" w:eastAsia="Arial" w:cs="Arial"/>
                <w:color w:val="1A1A1A"/>
                <w:sz w:val="20"/>
                <w:szCs w:val="20"/>
              </w:rPr>
              <w:t>Level 5</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A062918">
            <w:pPr>
              <w:jc w:val="left"/>
            </w:pPr>
            <w:r>
              <w:rPr>
                <w:rFonts w:ascii="Arial" w:hAnsi="Arial" w:eastAsia="Arial" w:cs="Arial"/>
                <w:color w:val="1A1A1A"/>
                <w:sz w:val="20"/>
                <w:szCs w:val="20"/>
              </w:rPr>
              <w:t>On-chain transaction data</w:t>
            </w:r>
          </w:p>
        </w:tc>
        <w:tc>
          <w:tcPr>
            <w:tcW w:w="5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D0A6AE0">
            <w:pPr>
              <w:jc w:val="left"/>
            </w:pPr>
            <w:r>
              <w:rPr>
                <w:rFonts w:ascii="Arial" w:hAnsi="Arial" w:eastAsia="Arial" w:cs="Arial"/>
                <w:color w:val="1A1A1A"/>
                <w:sz w:val="20"/>
                <w:szCs w:val="20"/>
              </w:rPr>
              <w:t>Transaction records, price data, and contract state queryable on blockchain explorers — highest credibility</w:t>
            </w:r>
          </w:p>
        </w:tc>
      </w:tr>
      <w:tr w14:paraId="598423A5">
        <w:tc>
          <w:tcPr>
            <w:tcW w:w="1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3BFA3EF">
            <w:pPr>
              <w:jc w:val="left"/>
            </w:pPr>
            <w:r>
              <w:rPr>
                <w:rFonts w:ascii="Arial" w:hAnsi="Arial" w:eastAsia="Arial" w:cs="Arial"/>
                <w:color w:val="1A1A1A"/>
                <w:sz w:val="20"/>
                <w:szCs w:val="20"/>
              </w:rPr>
              <w:t>Level 4</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535AB4B">
            <w:pPr>
              <w:jc w:val="left"/>
            </w:pPr>
            <w:r>
              <w:rPr>
                <w:rFonts w:ascii="Arial" w:hAnsi="Arial" w:eastAsia="Arial" w:cs="Arial"/>
                <w:color w:val="1A1A1A"/>
                <w:sz w:val="20"/>
                <w:szCs w:val="20"/>
              </w:rPr>
              <w:t>Official announcements</w:t>
            </w:r>
          </w:p>
        </w:tc>
        <w:tc>
          <w:tcPr>
            <w:tcW w:w="5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690E84F">
            <w:pPr>
              <w:jc w:val="left"/>
            </w:pPr>
            <w:r>
              <w:rPr>
                <w:rFonts w:ascii="Arial" w:hAnsi="Arial" w:eastAsia="Arial" w:cs="Arial"/>
                <w:color w:val="1A1A1A"/>
                <w:sz w:val="20"/>
                <w:szCs w:val="20"/>
              </w:rPr>
              <w:t>Statements published on project websites or official Twitter accounts, with a clearly identifiable publisher</w:t>
            </w:r>
          </w:p>
        </w:tc>
      </w:tr>
      <w:tr w14:paraId="1ABB1184">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FA766C2">
            <w:pPr>
              <w:jc w:val="left"/>
            </w:pPr>
            <w:r>
              <w:rPr>
                <w:rFonts w:ascii="Arial" w:hAnsi="Arial" w:eastAsia="Arial" w:cs="Arial"/>
                <w:color w:val="1A1A1A"/>
                <w:sz w:val="20"/>
                <w:szCs w:val="20"/>
              </w:rPr>
              <w:t>Level 3</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98600C4">
            <w:pPr>
              <w:jc w:val="left"/>
            </w:pPr>
            <w:r>
              <w:rPr>
                <w:rFonts w:ascii="Arial" w:hAnsi="Arial" w:eastAsia="Arial" w:cs="Arial"/>
                <w:color w:val="1A1A1A"/>
                <w:sz w:val="20"/>
                <w:szCs w:val="20"/>
              </w:rPr>
              <w:t>Third-party data platforms</w:t>
            </w:r>
          </w:p>
        </w:tc>
        <w:tc>
          <w:tcPr>
            <w:tcW w:w="5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3FB37CC">
            <w:pPr>
              <w:jc w:val="left"/>
            </w:pPr>
            <w:r>
              <w:rPr>
                <w:rFonts w:ascii="Arial" w:hAnsi="Arial" w:eastAsia="Arial" w:cs="Arial"/>
                <w:color w:val="1A1A1A"/>
                <w:sz w:val="20"/>
                <w:szCs w:val="20"/>
              </w:rPr>
              <w:t>Authoritative data aggregators such as CoinGecko, DeFiLlama, and Dune Analytics</w:t>
            </w:r>
          </w:p>
        </w:tc>
      </w:tr>
      <w:tr w14:paraId="1FFCE0B7">
        <w:tc>
          <w:tcPr>
            <w:tcW w:w="1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BD28FEB">
            <w:pPr>
              <w:jc w:val="left"/>
            </w:pPr>
            <w:r>
              <w:rPr>
                <w:rFonts w:ascii="Arial" w:hAnsi="Arial" w:eastAsia="Arial" w:cs="Arial"/>
                <w:color w:val="1A1A1A"/>
                <w:sz w:val="20"/>
                <w:szCs w:val="20"/>
              </w:rPr>
              <w:t>Level 2</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E33B9DE">
            <w:pPr>
              <w:jc w:val="left"/>
            </w:pPr>
            <w:r>
              <w:rPr>
                <w:rFonts w:ascii="Arial" w:hAnsi="Arial" w:eastAsia="Arial" w:cs="Arial"/>
                <w:color w:val="1A1A1A"/>
                <w:sz w:val="20"/>
                <w:szCs w:val="20"/>
              </w:rPr>
              <w:t>Social media links</w:t>
            </w:r>
          </w:p>
        </w:tc>
        <w:tc>
          <w:tcPr>
            <w:tcW w:w="5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9D2B207">
            <w:pPr>
              <w:jc w:val="left"/>
            </w:pPr>
            <w:r>
              <w:rPr>
                <w:rFonts w:ascii="Arial" w:hAnsi="Arial" w:eastAsia="Arial" w:cs="Arial"/>
                <w:color w:val="1A1A1A"/>
                <w:sz w:val="20"/>
                <w:szCs w:val="20"/>
              </w:rPr>
              <w:t>Tweets, Discord messages, forum posts, etc. — credibility assessed in conjunction with publisher background</w:t>
            </w:r>
          </w:p>
        </w:tc>
      </w:tr>
      <w:tr w14:paraId="0B8B578A">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D01A2F6">
            <w:pPr>
              <w:jc w:val="left"/>
            </w:pPr>
            <w:r>
              <w:rPr>
                <w:rFonts w:ascii="Arial" w:hAnsi="Arial" w:eastAsia="Arial" w:cs="Arial"/>
                <w:color w:val="1A1A1A"/>
                <w:sz w:val="20"/>
                <w:szCs w:val="20"/>
              </w:rPr>
              <w:t>Level 1</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4BD62AC">
            <w:pPr>
              <w:jc w:val="left"/>
            </w:pPr>
            <w:r>
              <w:rPr>
                <w:rFonts w:ascii="Arial" w:hAnsi="Arial" w:eastAsia="Arial" w:cs="Arial"/>
                <w:color w:val="1A1A1A"/>
                <w:sz w:val="20"/>
                <w:szCs w:val="20"/>
              </w:rPr>
              <w:t>Plain text description</w:t>
            </w:r>
          </w:p>
        </w:tc>
        <w:tc>
          <w:tcPr>
            <w:tcW w:w="5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5DB155B">
            <w:pPr>
              <w:jc w:val="left"/>
            </w:pPr>
            <w:r>
              <w:rPr>
                <w:rFonts w:ascii="Arial" w:hAnsi="Arial" w:eastAsia="Arial" w:cs="Arial"/>
                <w:color w:val="1A1A1A"/>
                <w:sz w:val="20"/>
                <w:szCs w:val="20"/>
              </w:rPr>
              <w:t>Written statements by parties, with no external source to corroborate</w:t>
            </w:r>
          </w:p>
        </w:tc>
      </w:tr>
      <w:tr w14:paraId="1CF061BD">
        <w:tc>
          <w:tcPr>
            <w:tcW w:w="1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DF04B5E">
            <w:pPr>
              <w:jc w:val="left"/>
            </w:pPr>
            <w:r>
              <w:rPr>
                <w:rFonts w:ascii="Arial" w:hAnsi="Arial" w:eastAsia="Arial" w:cs="Arial"/>
                <w:color w:val="1A1A1A"/>
                <w:sz w:val="20"/>
                <w:szCs w:val="20"/>
              </w:rPr>
              <w:t>Level 0</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80BCAEF">
            <w:pPr>
              <w:jc w:val="left"/>
            </w:pPr>
            <w:r>
              <w:rPr>
                <w:rFonts w:ascii="Arial" w:hAnsi="Arial" w:eastAsia="Arial" w:cs="Arial"/>
                <w:color w:val="1A1A1A"/>
                <w:sz w:val="20"/>
                <w:szCs w:val="20"/>
              </w:rPr>
              <w:t>Subjective claims</w:t>
            </w:r>
          </w:p>
        </w:tc>
        <w:tc>
          <w:tcPr>
            <w:tcW w:w="5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72D56C5">
            <w:pPr>
              <w:jc w:val="left"/>
            </w:pPr>
            <w:r>
              <w:rPr>
                <w:rFonts w:ascii="Arial" w:hAnsi="Arial" w:eastAsia="Arial" w:cs="Arial"/>
                <w:color w:val="1A1A1A"/>
                <w:sz w:val="20"/>
                <w:szCs w:val="20"/>
              </w:rPr>
              <w:t>Emotional descriptions and unverifiable subjective judgments — AI Judge ignores these entirely</w:t>
            </w:r>
          </w:p>
        </w:tc>
      </w:tr>
    </w:tbl>
    <w:p w14:paraId="668699C6">
      <w:pPr>
        <w:spacing w:before="0" w:after="0"/>
      </w:pPr>
    </w:p>
    <w:p w14:paraId="2EAC9441">
      <w:pPr>
        <w:pStyle w:val="4"/>
        <w:spacing w:before="240" w:after="100"/>
      </w:pPr>
      <w:r>
        <w:rPr>
          <w:rFonts w:ascii="Arial" w:hAnsi="Arial" w:eastAsia="Arial" w:cs="Arial"/>
          <w:b/>
          <w:bCs/>
          <w:color w:val="C0392B"/>
          <w:sz w:val="24"/>
          <w:szCs w:val="24"/>
        </w:rPr>
        <w:t>2.2.2  Confidence Protection Mechanism</w:t>
      </w:r>
    </w:p>
    <w:p w14:paraId="39EBB9C4">
      <w:pPr>
        <w:spacing w:before="60" w:after="80" w:line="380" w:lineRule="auto"/>
        <w:jc w:val="both"/>
      </w:pPr>
      <w:r>
        <w:rPr>
          <w:rFonts w:ascii="Arial" w:hAnsi="Arial" w:eastAsia="Arial" w:cs="Arial"/>
          <w:b w:val="0"/>
          <w:bCs w:val="0"/>
          <w:i w:val="0"/>
          <w:iCs w:val="0"/>
          <w:color w:val="1A1A1A"/>
          <w:sz w:val="22"/>
          <w:szCs w:val="22"/>
        </w:rPr>
        <w:t>The confidence protection mechanism is a key design that distinguishes AI Judge from traditional AI adjudication systems: when the confidence level corresponding to the weighted composite score falls below 50%, AI Judge does not force a ruling but instead returns an "Insufficient Evidence" (Insufficient) status, declining to trigger automatic settlement.</w:t>
      </w:r>
    </w:p>
    <w:p w14:paraId="47542F5D">
      <w:pPr>
        <w:spacing w:before="60" w:after="80" w:line="380" w:lineRule="auto"/>
        <w:jc w:val="both"/>
      </w:pPr>
      <w:r>
        <w:rPr>
          <w:rFonts w:ascii="Arial" w:hAnsi="Arial" w:eastAsia="Arial" w:cs="Arial"/>
          <w:b w:val="0"/>
          <w:bCs w:val="0"/>
          <w:i w:val="0"/>
          <w:iCs w:val="0"/>
          <w:color w:val="1A1A1A"/>
          <w:sz w:val="22"/>
          <w:szCs w:val="22"/>
        </w:rPr>
        <w:t>This mechanism is rooted in the core legal arbitration principle of "presumption of innocence," ensuring that when evidence quality is insufficient to support a definitive judgment, neither party's funds are put at risk of an incorrect ruling.</w:t>
      </w:r>
    </w:p>
    <w:p w14:paraId="34EB8F1F">
      <w:pPr>
        <w:pStyle w:val="3"/>
        <w:spacing w:before="360" w:after="160"/>
      </w:pPr>
      <w:r>
        <w:rPr>
          <w:rFonts w:ascii="Arial" w:hAnsi="Arial" w:eastAsia="Arial" w:cs="Arial"/>
          <w:b/>
          <w:bCs/>
          <w:color w:val="1A1A1A"/>
          <w:sz w:val="28"/>
          <w:szCs w:val="28"/>
        </w:rPr>
        <w:t>2.3  Three-Layer Dispute Resolution</w:t>
      </w:r>
    </w:p>
    <w:p w14:paraId="677A4A3E">
      <w:pPr>
        <w:spacing w:before="60" w:after="80" w:line="380" w:lineRule="auto"/>
        <w:jc w:val="both"/>
      </w:pPr>
      <w:r>
        <w:rPr>
          <w:rFonts w:ascii="Arial" w:hAnsi="Arial" w:eastAsia="Arial" w:cs="Arial"/>
          <w:b w:val="0"/>
          <w:bCs w:val="0"/>
          <w:i w:val="0"/>
          <w:iCs w:val="0"/>
          <w:color w:val="1A1A1A"/>
          <w:sz w:val="22"/>
          <w:szCs w:val="22"/>
        </w:rPr>
        <w:t>Protocol Bet's dispute resolution system consists of three progressively escalating mechanisms, covering all scenarios from the optimal path to the fallback guarantee:</w:t>
      </w:r>
    </w:p>
    <w:p w14:paraId="43486F6C">
      <w:pPr>
        <w:spacing w:before="0" w:after="0"/>
      </w:pP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2400"/>
        <w:gridCol w:w="1400"/>
        <w:gridCol w:w="1000"/>
      </w:tblGrid>
      <w:tr w14:paraId="4308806F">
        <w:tc>
          <w:tcPr>
            <w:tcW w:w="9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04860677">
            <w:pPr>
              <w:jc w:val="center"/>
            </w:pPr>
            <w:r>
              <w:rPr>
                <w:rFonts w:ascii="Arial" w:hAnsi="Arial" w:eastAsia="Arial" w:cs="Arial"/>
                <w:b/>
                <w:bCs/>
                <w:color w:val="FFFFFF"/>
                <w:sz w:val="20"/>
                <w:szCs w:val="20"/>
              </w:rPr>
              <w:t>Layer</w:t>
            </w:r>
          </w:p>
        </w:tc>
        <w:tc>
          <w:tcPr>
            <w:tcW w:w="28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4C4DFDD0">
            <w:pPr>
              <w:jc w:val="center"/>
            </w:pPr>
            <w:r>
              <w:rPr>
                <w:rFonts w:ascii="Arial" w:hAnsi="Arial" w:eastAsia="Arial" w:cs="Arial"/>
                <w:b/>
                <w:bCs/>
                <w:color w:val="FFFFFF"/>
                <w:sz w:val="20"/>
                <w:szCs w:val="20"/>
              </w:rPr>
              <w:t>Mechanism</w:t>
            </w:r>
          </w:p>
        </w:tc>
        <w:tc>
          <w:tcPr>
            <w:tcW w:w="2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A6C062D">
            <w:pPr>
              <w:jc w:val="center"/>
            </w:pPr>
            <w:r>
              <w:rPr>
                <w:rFonts w:ascii="Arial" w:hAnsi="Arial" w:eastAsia="Arial" w:cs="Arial"/>
                <w:b/>
                <w:bCs/>
                <w:color w:val="FFFFFF"/>
                <w:sz w:val="20"/>
                <w:szCs w:val="20"/>
              </w:rPr>
              <w:t>Trigger Condition</w:t>
            </w:r>
          </w:p>
        </w:tc>
        <w:tc>
          <w:tcPr>
            <w:tcW w:w="1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249BCB2">
            <w:pPr>
              <w:jc w:val="center"/>
            </w:pPr>
            <w:r>
              <w:rPr>
                <w:rFonts w:ascii="Arial" w:hAnsi="Arial" w:eastAsia="Arial" w:cs="Arial"/>
                <w:b/>
                <w:bCs/>
                <w:color w:val="FFFFFF"/>
                <w:sz w:val="20"/>
                <w:szCs w:val="20"/>
              </w:rPr>
              <w:t>Settlement Speed</w:t>
            </w:r>
          </w:p>
        </w:tc>
        <w:tc>
          <w:tcPr>
            <w:tcW w:w="1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7ACA5E6F">
            <w:pPr>
              <w:jc w:val="center"/>
            </w:pPr>
            <w:r>
              <w:rPr>
                <w:rFonts w:ascii="Arial" w:hAnsi="Arial" w:eastAsia="Arial" w:cs="Arial"/>
                <w:b/>
                <w:bCs/>
                <w:color w:val="FFFFFF"/>
                <w:sz w:val="20"/>
                <w:szCs w:val="20"/>
              </w:rPr>
              <w:t>Status</w:t>
            </w:r>
          </w:p>
        </w:tc>
      </w:tr>
      <w:tr w14:paraId="05863CEF">
        <w:tc>
          <w:tcPr>
            <w:tcW w:w="9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41AF98C">
            <w:pPr>
              <w:jc w:val="left"/>
            </w:pPr>
            <w:r>
              <w:rPr>
                <w:rFonts w:ascii="Arial" w:hAnsi="Arial" w:eastAsia="Arial" w:cs="Arial"/>
                <w:color w:val="1A1A1A"/>
                <w:sz w:val="20"/>
                <w:szCs w:val="20"/>
              </w:rPr>
              <w:t>Layer 1</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CB7632D">
            <w:pPr>
              <w:jc w:val="left"/>
            </w:pPr>
            <w:r>
              <w:rPr>
                <w:rFonts w:ascii="Arial" w:hAnsi="Arial" w:eastAsia="Arial" w:cs="Arial"/>
                <w:color w:val="1A1A1A"/>
                <w:sz w:val="20"/>
                <w:szCs w:val="20"/>
              </w:rPr>
              <w:t>Mutual Settlement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5A35214">
            <w:pPr>
              <w:jc w:val="left"/>
            </w:pPr>
            <w:r>
              <w:rPr>
                <w:rFonts w:ascii="Arial" w:hAnsi="Arial" w:eastAsia="Arial" w:cs="Arial"/>
                <w:color w:val="1A1A1A"/>
                <w:sz w:val="20"/>
                <w:szCs w:val="20"/>
              </w:rPr>
              <w:t>Both parties accept the outcome</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5DC0D6D">
            <w:pPr>
              <w:jc w:val="left"/>
            </w:pPr>
            <w:r>
              <w:rPr>
                <w:rFonts w:ascii="Arial" w:hAnsi="Arial" w:eastAsia="Arial" w:cs="Arial"/>
                <w:color w:val="1A1A1A"/>
                <w:sz w:val="20"/>
                <w:szCs w:val="20"/>
              </w:rPr>
              <w:t>Instant</w:t>
            </w:r>
          </w:p>
        </w:tc>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2DAC6F0">
            <w:pPr>
              <w:jc w:val="left"/>
            </w:pPr>
            <w:r>
              <w:rPr>
                <w:rFonts w:ascii="Arial" w:hAnsi="Arial" w:eastAsia="Arial" w:cs="Arial"/>
                <w:color w:val="1A1A1A"/>
                <w:sz w:val="20"/>
                <w:szCs w:val="20"/>
              </w:rPr>
              <w:t>Live</w:t>
            </w:r>
          </w:p>
        </w:tc>
      </w:tr>
      <w:tr w14:paraId="49179892">
        <w:tc>
          <w:tcPr>
            <w:tcW w:w="9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9AFF02C">
            <w:pPr>
              <w:jc w:val="left"/>
            </w:pPr>
            <w:r>
              <w:rPr>
                <w:rFonts w:ascii="Arial" w:hAnsi="Arial" w:eastAsia="Arial" w:cs="Arial"/>
                <w:color w:val="1A1A1A"/>
                <w:sz w:val="20"/>
                <w:szCs w:val="20"/>
              </w:rPr>
              <w:t>Layer 2</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7E7F9BB">
            <w:pPr>
              <w:jc w:val="left"/>
            </w:pPr>
            <w:r>
              <w:rPr>
                <w:rFonts w:ascii="Arial" w:hAnsi="Arial" w:eastAsia="Arial" w:cs="Arial"/>
                <w:color w:val="1A1A1A"/>
                <w:sz w:val="20"/>
                <w:szCs w:val="20"/>
              </w:rPr>
              <w:t>AI Judge Ruling</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87DCDB2">
            <w:pPr>
              <w:jc w:val="left"/>
            </w:pPr>
            <w:r>
              <w:rPr>
                <w:rFonts w:ascii="Arial" w:hAnsi="Arial" w:eastAsia="Arial" w:cs="Arial"/>
                <w:color w:val="1A1A1A"/>
                <w:sz w:val="20"/>
                <w:szCs w:val="20"/>
              </w:rPr>
              <w:t>Either party submits evidence requesting adjudication</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BB58517">
            <w:pPr>
              <w:jc w:val="left"/>
            </w:pPr>
            <w:r>
              <w:rPr>
                <w:rFonts w:ascii="Arial" w:hAnsi="Arial" w:eastAsia="Arial" w:cs="Arial"/>
                <w:color w:val="1A1A1A"/>
                <w:sz w:val="20"/>
                <w:szCs w:val="20"/>
              </w:rPr>
              <w:t>Seconds to minutes</w:t>
            </w:r>
          </w:p>
        </w:tc>
        <w:tc>
          <w:tcPr>
            <w:tcW w:w="1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226796C">
            <w:pPr>
              <w:jc w:val="left"/>
            </w:pPr>
            <w:r>
              <w:rPr>
                <w:rFonts w:ascii="Arial" w:hAnsi="Arial" w:eastAsia="Arial" w:cs="Arial"/>
                <w:color w:val="1A1A1A"/>
                <w:sz w:val="20"/>
                <w:szCs w:val="20"/>
              </w:rPr>
              <w:t>Live</w:t>
            </w:r>
          </w:p>
        </w:tc>
      </w:tr>
      <w:tr w14:paraId="29DE57FC">
        <w:tc>
          <w:tcPr>
            <w:tcW w:w="9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EF5295A">
            <w:pPr>
              <w:jc w:val="left"/>
            </w:pPr>
            <w:r>
              <w:rPr>
                <w:rFonts w:ascii="Arial" w:hAnsi="Arial" w:eastAsia="Arial" w:cs="Arial"/>
                <w:color w:val="1A1A1A"/>
                <w:sz w:val="20"/>
                <w:szCs w:val="20"/>
              </w:rPr>
              <w:t>Layer 3</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B80520B">
            <w:pPr>
              <w:jc w:val="left"/>
            </w:pPr>
            <w:r>
              <w:rPr>
                <w:rFonts w:ascii="Arial" w:hAnsi="Arial" w:eastAsia="Arial" w:cs="Arial"/>
                <w:color w:val="1A1A1A"/>
                <w:sz w:val="20"/>
                <w:szCs w:val="20"/>
              </w:rPr>
              <w:t>Auto-Ruling</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7E2A162">
            <w:pPr>
              <w:jc w:val="left"/>
            </w:pPr>
            <w:r>
              <w:rPr>
                <w:rFonts w:ascii="Arial" w:hAnsi="Arial" w:eastAsia="Arial" w:cs="Arial"/>
                <w:color w:val="1A1A1A"/>
                <w:sz w:val="20"/>
                <w:szCs w:val="20"/>
              </w:rPr>
              <w:t>Duel expires with no action taken</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4EB71CA">
            <w:pPr>
              <w:jc w:val="left"/>
            </w:pPr>
            <w:r>
              <w:rPr>
                <w:rFonts w:ascii="Arial" w:hAnsi="Arial" w:eastAsia="Arial" w:cs="Arial"/>
                <w:color w:val="1A1A1A"/>
                <w:sz w:val="20"/>
                <w:szCs w:val="20"/>
              </w:rPr>
              <w:t>Cron job triggered</w:t>
            </w:r>
          </w:p>
        </w:tc>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1F4C145">
            <w:pPr>
              <w:jc w:val="left"/>
            </w:pPr>
            <w:r>
              <w:rPr>
                <w:rFonts w:ascii="Arial" w:hAnsi="Arial" w:eastAsia="Arial" w:cs="Arial"/>
                <w:color w:val="1A1A1A"/>
                <w:sz w:val="20"/>
                <w:szCs w:val="20"/>
              </w:rPr>
              <w:t>Phase 2</w:t>
            </w:r>
          </w:p>
        </w:tc>
      </w:tr>
    </w:tbl>
    <w:p w14:paraId="1D162D5A">
      <w:pPr>
        <w:spacing w:before="0" w:after="0"/>
      </w:pPr>
    </w:p>
    <w:p w14:paraId="0645D6E4">
      <w:pPr>
        <w:pStyle w:val="3"/>
        <w:spacing w:before="360" w:after="160"/>
      </w:pPr>
      <w:r>
        <w:rPr>
          <w:rFonts w:ascii="Arial" w:hAnsi="Arial" w:eastAsia="Arial" w:cs="Arial"/>
          <w:b/>
          <w:bCs/>
          <w:color w:val="1A1A1A"/>
          <w:sz w:val="28"/>
          <w:szCs w:val="28"/>
        </w:rPr>
        <w:t>2.4  Technology Stack</w:t>
      </w:r>
    </w:p>
    <w:p w14:paraId="3B175A56">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641FF4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DE5D739">
            <w:r>
              <w:rPr>
                <w:rFonts w:ascii="Arial" w:hAnsi="Arial" w:eastAsia="Arial" w:cs="Arial"/>
                <w:b/>
                <w:bCs/>
                <w:color w:val="5A5A5A"/>
                <w:sz w:val="20"/>
                <w:szCs w:val="20"/>
              </w:rPr>
              <w:t>Frontend</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13875B2E">
            <w:r>
              <w:rPr>
                <w:rFonts w:ascii="Arial" w:hAnsi="Arial" w:eastAsia="Arial" w:cs="Arial"/>
                <w:color w:val="1A1A1A"/>
                <w:sz w:val="20"/>
                <w:szCs w:val="20"/>
              </w:rPr>
              <w:t>Next.js 16.2.6 (Turbopack) · React 19 · TypeScript · Tailwind CSS</w:t>
            </w:r>
          </w:p>
        </w:tc>
      </w:tr>
      <w:tr w14:paraId="3F45E5F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0CE5483">
            <w:r>
              <w:rPr>
                <w:rFonts w:ascii="Arial" w:hAnsi="Arial" w:eastAsia="Arial" w:cs="Arial"/>
                <w:b/>
                <w:bCs/>
                <w:color w:val="5A5A5A"/>
                <w:sz w:val="20"/>
                <w:szCs w:val="20"/>
              </w:rPr>
              <w:t>Web3 Connection</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4D84F709">
            <w:r>
              <w:rPr>
                <w:rFonts w:ascii="Arial" w:hAnsi="Arial" w:eastAsia="Arial" w:cs="Arial"/>
                <w:color w:val="1A1A1A"/>
                <w:sz w:val="20"/>
                <w:szCs w:val="20"/>
              </w:rPr>
              <w:t>wagmi · RainbowKit · viem</w:t>
            </w:r>
          </w:p>
        </w:tc>
      </w:tr>
      <w:tr w14:paraId="3C0EA447">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6A40D92">
            <w:r>
              <w:rPr>
                <w:rFonts w:ascii="Arial" w:hAnsi="Arial" w:eastAsia="Arial" w:cs="Arial"/>
                <w:b/>
                <w:bCs/>
                <w:color w:val="5A5A5A"/>
                <w:sz w:val="20"/>
                <w:szCs w:val="20"/>
              </w:rPr>
              <w:t>Backend Deployment</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6B658C91">
            <w:r>
              <w:rPr>
                <w:rFonts w:ascii="Arial" w:hAnsi="Arial" w:eastAsia="Arial" w:cs="Arial"/>
                <w:color w:val="1A1A1A"/>
                <w:sz w:val="20"/>
                <w:szCs w:val="20"/>
              </w:rPr>
              <w:t>Vercel API Routes · Vercel Edge Functions</w:t>
            </w:r>
          </w:p>
        </w:tc>
      </w:tr>
      <w:tr w14:paraId="55381AA8">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8F87D1A">
            <w:r>
              <w:rPr>
                <w:rFonts w:ascii="Arial" w:hAnsi="Arial" w:eastAsia="Arial" w:cs="Arial"/>
                <w:b/>
                <w:bCs/>
                <w:color w:val="5A5A5A"/>
                <w:sz w:val="20"/>
                <w:szCs w:val="20"/>
              </w:rPr>
              <w:t>Data Storage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593E885F">
            <w:r>
              <w:rPr>
                <w:rFonts w:ascii="Arial" w:hAnsi="Arial" w:eastAsia="Arial" w:cs="Arial"/>
                <w:color w:val="1A1A1A"/>
                <w:sz w:val="20"/>
                <w:szCs w:val="20"/>
              </w:rPr>
              <w:t>Upstash KV (Redis) — duel data persistence</w:t>
            </w:r>
          </w:p>
        </w:tc>
      </w:tr>
      <w:tr w14:paraId="0C203568">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76B4F75">
            <w:r>
              <w:rPr>
                <w:rFonts w:ascii="Arial" w:hAnsi="Arial" w:eastAsia="Arial" w:cs="Arial"/>
                <w:b/>
                <w:bCs/>
                <w:color w:val="5A5A5A"/>
                <w:sz w:val="20"/>
                <w:szCs w:val="20"/>
              </w:rPr>
              <w:t>AI Inference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19F49E6F">
            <w:bookmarkStart w:id="0" w:name="_GoBack"/>
            <w:bookmarkEnd w:id="0"/>
            <w:r>
              <w:rPr>
                <w:rFonts w:ascii="Arial" w:hAnsi="Arial" w:eastAsia="Arial" w:cs="Arial"/>
                <w:color w:val="1A1A1A"/>
                <w:sz w:val="20"/>
                <w:szCs w:val="20"/>
              </w:rPr>
              <w:t>LLM API — AI Judge 4-step chain-of-thought reasoning</w:t>
            </w:r>
          </w:p>
        </w:tc>
      </w:tr>
      <w:tr w14:paraId="0B34EDAA">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EE5C66A">
            <w:r>
              <w:rPr>
                <w:rFonts w:ascii="Arial" w:hAnsi="Arial" w:eastAsia="Arial" w:cs="Arial"/>
                <w:b/>
                <w:bCs/>
                <w:color w:val="5A5A5A"/>
                <w:sz w:val="20"/>
                <w:szCs w:val="20"/>
              </w:rPr>
              <w:t>On-Chain Data</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3A9AB24F">
            <w:r>
              <w:rPr>
                <w:rFonts w:ascii="Arial" w:hAnsi="Arial" w:eastAsia="Arial" w:cs="Arial"/>
                <w:color w:val="1A1A1A"/>
                <w:sz w:val="20"/>
                <w:szCs w:val="20"/>
              </w:rPr>
              <w:t>Moralis API — multi-chain wallet data</w:t>
            </w:r>
          </w:p>
        </w:tc>
      </w:tr>
      <w:tr w14:paraId="41B6E02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0BEC770">
            <w:r>
              <w:rPr>
                <w:rFonts w:ascii="Arial" w:hAnsi="Arial" w:eastAsia="Arial" w:cs="Arial"/>
                <w:b/>
                <w:bCs/>
                <w:color w:val="5A5A5A"/>
                <w:sz w:val="20"/>
                <w:szCs w:val="20"/>
              </w:rPr>
              <w:t>Smart Contract</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2D0F22F6">
            <w:r>
              <w:rPr>
                <w:rFonts w:ascii="Arial" w:hAnsi="Arial" w:eastAsia="Arial" w:cs="Arial"/>
                <w:color w:val="1A1A1A"/>
                <w:sz w:val="20"/>
                <w:szCs w:val="20"/>
              </w:rPr>
              <w:t>Solidity 0.8.23 · Hardhat</w:t>
            </w:r>
          </w:p>
        </w:tc>
      </w:tr>
      <w:tr w14:paraId="2748270D">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D777F05">
            <w:r>
              <w:rPr>
                <w:rFonts w:ascii="Arial" w:hAnsi="Arial" w:eastAsia="Arial" w:cs="Arial"/>
                <w:b/>
                <w:bCs/>
                <w:color w:val="5A5A5A"/>
                <w:sz w:val="20"/>
                <w:szCs w:val="20"/>
              </w:rPr>
              <w:t>Bot Runtime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5E00643F">
            <w:r>
              <w:rPr>
                <w:rFonts w:ascii="Arial" w:hAnsi="Arial" w:eastAsia="Arial" w:cs="Arial"/>
                <w:color w:val="1A1A1A"/>
                <w:sz w:val="20"/>
                <w:szCs w:val="20"/>
              </w:rPr>
              <w:t>Python 3.x · python-telegram-bot 20.7 · aiohttp · Railway</w:t>
            </w:r>
          </w:p>
        </w:tc>
      </w:tr>
      <w:tr w14:paraId="14EEC647">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1B71893">
            <w:r>
              <w:rPr>
                <w:rFonts w:ascii="Arial" w:hAnsi="Arial" w:eastAsia="Arial" w:cs="Arial"/>
                <w:b/>
                <w:bCs/>
                <w:color w:val="5A5A5A"/>
                <w:sz w:val="20"/>
                <w:szCs w:val="20"/>
              </w:rPr>
              <w:t>SDK</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687B6FA8">
            <w:r>
              <w:rPr>
                <w:rFonts w:ascii="Arial" w:hAnsi="Arial" w:eastAsia="Arial" w:cs="Arial"/>
                <w:color w:val="1A1A1A"/>
                <w:sz w:val="20"/>
                <w:szCs w:val="20"/>
              </w:rPr>
              <w:t>TypeScript · tsup · viem · npm (@lant1ng/verdict-protocol-sdk)</w:t>
            </w:r>
          </w:p>
        </w:tc>
      </w:tr>
    </w:tbl>
    <w:p w14:paraId="687CE46B">
      <w:r>
        <w:br w:type="page"/>
      </w:r>
    </w:p>
    <w:p w14:paraId="4424904D">
      <w:pPr>
        <w:pStyle w:val="2"/>
        <w:pBdr>
          <w:bottom w:val="single" w:color="C0392B" w:sz="12" w:space="6"/>
        </w:pBdr>
        <w:spacing w:before="560" w:after="200"/>
      </w:pPr>
      <w:r>
        <w:rPr>
          <w:rFonts w:ascii="Arial" w:hAnsi="Arial" w:eastAsia="Arial" w:cs="Arial"/>
          <w:b/>
          <w:bCs/>
          <w:color w:val="1A1A1A"/>
          <w:sz w:val="36"/>
          <w:szCs w:val="36"/>
        </w:rPr>
        <w:t>Chapter 3  Smart Contract Design</w:t>
      </w:r>
    </w:p>
    <w:p w14:paraId="65778571">
      <w:pPr>
        <w:spacing w:before="60" w:after="80" w:line="380" w:lineRule="auto"/>
        <w:jc w:val="both"/>
      </w:pPr>
      <w:r>
        <w:rPr>
          <w:rFonts w:ascii="Arial" w:hAnsi="Arial" w:eastAsia="Arial" w:cs="Arial"/>
          <w:b w:val="0"/>
          <w:bCs w:val="0"/>
          <w:i w:val="0"/>
          <w:iCs w:val="0"/>
          <w:color w:val="1A1A1A"/>
          <w:sz w:val="22"/>
          <w:szCs w:val="22"/>
        </w:rPr>
        <w:t>ProtocolBet.sol is the on-chain core of Verdict Protocol, responsible for fund escrow, duel lifecycle management, and automatic settlement.</w:t>
      </w:r>
    </w:p>
    <w:p w14:paraId="2362961E">
      <w:pPr>
        <w:pStyle w:val="3"/>
        <w:spacing w:before="360" w:after="160"/>
      </w:pPr>
      <w:r>
        <w:rPr>
          <w:rFonts w:ascii="Arial" w:hAnsi="Arial" w:eastAsia="Arial" w:cs="Arial"/>
          <w:b/>
          <w:bCs/>
          <w:color w:val="1A1A1A"/>
          <w:sz w:val="28"/>
          <w:szCs w:val="28"/>
        </w:rPr>
        <w:t>3.1  Core Functions</w:t>
      </w:r>
    </w:p>
    <w:p w14:paraId="0E464CBE">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6160"/>
      </w:tblGrid>
      <w:tr w14:paraId="1B273A3E">
        <w:tc>
          <w:tcPr>
            <w:tcW w:w="18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263D16ED">
            <w:pPr>
              <w:jc w:val="center"/>
            </w:pPr>
            <w:r>
              <w:rPr>
                <w:rFonts w:ascii="Arial" w:hAnsi="Arial" w:eastAsia="Arial" w:cs="Arial"/>
                <w:b/>
                <w:bCs/>
                <w:color w:val="FFFFFF"/>
                <w:sz w:val="20"/>
                <w:szCs w:val="20"/>
              </w:rPr>
              <w:t>Function</w:t>
            </w:r>
          </w:p>
        </w:tc>
        <w:tc>
          <w:tcPr>
            <w:tcW w:w="1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0D8C54FC">
            <w:pPr>
              <w:jc w:val="center"/>
            </w:pPr>
            <w:r>
              <w:rPr>
                <w:rFonts w:ascii="Arial" w:hAnsi="Arial" w:eastAsia="Arial" w:cs="Arial"/>
                <w:b/>
                <w:bCs/>
                <w:color w:val="FFFFFF"/>
                <w:sz w:val="20"/>
                <w:szCs w:val="20"/>
              </w:rPr>
              <w:t>Permission</w:t>
            </w:r>
          </w:p>
        </w:tc>
        <w:tc>
          <w:tcPr>
            <w:tcW w:w="61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20ADF65">
            <w:pPr>
              <w:jc w:val="center"/>
            </w:pPr>
            <w:r>
              <w:rPr>
                <w:rFonts w:ascii="Arial" w:hAnsi="Arial" w:eastAsia="Arial" w:cs="Arial"/>
                <w:b/>
                <w:bCs/>
                <w:color w:val="FFFFFF"/>
                <w:sz w:val="20"/>
                <w:szCs w:val="20"/>
              </w:rPr>
              <w:t>Description</w:t>
            </w:r>
          </w:p>
        </w:tc>
      </w:tr>
      <w:tr w14:paraId="75EE8265">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6A23D9E">
            <w:pPr>
              <w:jc w:val="left"/>
            </w:pPr>
            <w:r>
              <w:rPr>
                <w:rFonts w:ascii="Arial" w:hAnsi="Arial" w:eastAsia="Arial" w:cs="Arial"/>
                <w:color w:val="1A1A1A"/>
                <w:sz w:val="20"/>
                <w:szCs w:val="20"/>
              </w:rPr>
              <w:t>create()</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35B47AF">
            <w:pPr>
              <w:jc w:val="left"/>
            </w:pPr>
            <w:r>
              <w:rPr>
                <w:rFonts w:ascii="Arial" w:hAnsi="Arial" w:eastAsia="Arial" w:cs="Arial"/>
                <w:color w:val="1A1A1A"/>
                <w:sz w:val="20"/>
                <w:szCs w:val="20"/>
              </w:rPr>
              <w:t>Anyone</w:t>
            </w:r>
          </w:p>
        </w:tc>
        <w:tc>
          <w:tcPr>
            <w:tcW w:w="6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2D52A16">
            <w:pPr>
              <w:jc w:val="left"/>
            </w:pPr>
            <w:r>
              <w:rPr>
                <w:rFonts w:ascii="Arial" w:hAnsi="Arial" w:eastAsia="Arial" w:cs="Arial"/>
                <w:color w:val="1A1A1A"/>
                <w:sz w:val="20"/>
                <w:szCs w:val="20"/>
              </w:rPr>
              <w:t>Initiate a new duel: set claim hash, rule hash, stake amount, deadline, and visibility</w:t>
            </w:r>
          </w:p>
        </w:tc>
      </w:tr>
      <w:tr w14:paraId="67E75D33">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5439000">
            <w:pPr>
              <w:jc w:val="left"/>
            </w:pPr>
            <w:r>
              <w:rPr>
                <w:rFonts w:ascii="Arial" w:hAnsi="Arial" w:eastAsia="Arial" w:cs="Arial"/>
                <w:color w:val="1A1A1A"/>
                <w:sz w:val="20"/>
                <w:szCs w:val="20"/>
              </w:rPr>
              <w:t>accept()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07314EB">
            <w:pPr>
              <w:jc w:val="left"/>
            </w:pPr>
            <w:r>
              <w:rPr>
                <w:rFonts w:ascii="Arial" w:hAnsi="Arial" w:eastAsia="Arial" w:cs="Arial"/>
                <w:color w:val="1A1A1A"/>
                <w:sz w:val="20"/>
                <w:szCs w:val="20"/>
              </w:rPr>
              <w:t>Anyone</w:t>
            </w:r>
          </w:p>
        </w:tc>
        <w:tc>
          <w:tcPr>
            <w:tcW w:w="6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407A52C">
            <w:pPr>
              <w:jc w:val="left"/>
            </w:pPr>
            <w:r>
              <w:rPr>
                <w:rFonts w:ascii="Arial" w:hAnsi="Arial" w:eastAsia="Arial" w:cs="Arial"/>
                <w:color w:val="1A1A1A"/>
                <w:sz w:val="20"/>
                <w:szCs w:val="20"/>
              </w:rPr>
              <w:t>Accept a specified duel (become the Blue side); funds are simultaneously locked into the contract</w:t>
            </w:r>
          </w:p>
        </w:tc>
      </w:tr>
      <w:tr w14:paraId="52C909E5">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793C027">
            <w:pPr>
              <w:jc w:val="left"/>
            </w:pPr>
            <w:r>
              <w:rPr>
                <w:rFonts w:ascii="Arial" w:hAnsi="Arial" w:eastAsia="Arial" w:cs="Arial"/>
                <w:color w:val="1A1A1A"/>
                <w:sz w:val="20"/>
                <w:szCs w:val="20"/>
              </w:rPr>
              <w:t>mutualSettle()</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8202CB8">
            <w:pPr>
              <w:jc w:val="left"/>
            </w:pPr>
            <w:r>
              <w:rPr>
                <w:rFonts w:ascii="Arial" w:hAnsi="Arial" w:eastAsia="Arial" w:cs="Arial"/>
                <w:color w:val="1A1A1A"/>
                <w:sz w:val="20"/>
                <w:szCs w:val="20"/>
              </w:rPr>
              <w:t>Both parties</w:t>
            </w:r>
          </w:p>
        </w:tc>
        <w:tc>
          <w:tcPr>
            <w:tcW w:w="6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15B1EC2">
            <w:pPr>
              <w:jc w:val="left"/>
            </w:pPr>
            <w:r>
              <w:rPr>
                <w:rFonts w:ascii="Arial" w:hAnsi="Arial" w:eastAsia="Arial" w:cs="Arial"/>
                <w:color w:val="1A1A1A"/>
                <w:sz w:val="20"/>
                <w:szCs w:val="20"/>
              </w:rPr>
              <w:t>Layer 1 mutual settlement; funds are distributed immediately once both sides confirm the outcome</w:t>
            </w:r>
          </w:p>
        </w:tc>
      </w:tr>
      <w:tr w14:paraId="4C01BA6A">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4EB3682">
            <w:pPr>
              <w:jc w:val="left"/>
            </w:pPr>
            <w:r>
              <w:rPr>
                <w:rFonts w:ascii="Arial" w:hAnsi="Arial" w:eastAsia="Arial" w:cs="Arial"/>
                <w:color w:val="1A1A1A"/>
                <w:sz w:val="20"/>
                <w:szCs w:val="20"/>
              </w:rPr>
              <w:t>settle()</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6AB04AE">
            <w:pPr>
              <w:jc w:val="left"/>
            </w:pPr>
            <w:r>
              <w:rPr>
                <w:rFonts w:ascii="Arial" w:hAnsi="Arial" w:eastAsia="Arial" w:cs="Arial"/>
                <w:color w:val="1A1A1A"/>
                <w:sz w:val="20"/>
                <w:szCs w:val="20"/>
              </w:rPr>
              <w:t>onlyJudge</w:t>
            </w:r>
          </w:p>
        </w:tc>
        <w:tc>
          <w:tcPr>
            <w:tcW w:w="6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11C2BE9">
            <w:pPr>
              <w:jc w:val="left"/>
            </w:pPr>
            <w:r>
              <w:rPr>
                <w:rFonts w:ascii="Arial" w:hAnsi="Arial" w:eastAsia="Arial" w:cs="Arial"/>
                <w:color w:val="1A1A1A"/>
                <w:sz w:val="20"/>
                <w:szCs w:val="20"/>
              </w:rPr>
              <w:t>Layer 2/3 adjudication settlement; judge wallet submits the ruling and triggers fund distribution</w:t>
            </w:r>
          </w:p>
        </w:tc>
      </w:tr>
      <w:tr w14:paraId="371A657B">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4455816">
            <w:pPr>
              <w:jc w:val="left"/>
            </w:pPr>
            <w:r>
              <w:rPr>
                <w:rFonts w:ascii="Arial" w:hAnsi="Arial" w:eastAsia="Arial" w:cs="Arial"/>
                <w:color w:val="1A1A1A"/>
                <w:sz w:val="20"/>
                <w:szCs w:val="20"/>
              </w:rPr>
              <w:t>dispute()</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A59C632">
            <w:pPr>
              <w:jc w:val="left"/>
            </w:pPr>
            <w:r>
              <w:rPr>
                <w:rFonts w:ascii="Arial" w:hAnsi="Arial" w:eastAsia="Arial" w:cs="Arial"/>
                <w:color w:val="1A1A1A"/>
                <w:sz w:val="20"/>
                <w:szCs w:val="20"/>
              </w:rPr>
              <w:t>Both parties</w:t>
            </w:r>
          </w:p>
        </w:tc>
        <w:tc>
          <w:tcPr>
            <w:tcW w:w="6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5823E7B">
            <w:pPr>
              <w:jc w:val="left"/>
            </w:pPr>
            <w:r>
              <w:rPr>
                <w:rFonts w:ascii="Arial" w:hAnsi="Arial" w:eastAsia="Arial" w:cs="Arial"/>
                <w:color w:val="1A1A1A"/>
                <w:sz w:val="20"/>
                <w:szCs w:val="20"/>
              </w:rPr>
              <w:t>Request dispute arbitration; a small bond is paid to prevent malicious requests</w:t>
            </w:r>
          </w:p>
        </w:tc>
      </w:tr>
      <w:tr w14:paraId="6BC6F8FC">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6E8800C">
            <w:pPr>
              <w:jc w:val="left"/>
            </w:pPr>
            <w:r>
              <w:rPr>
                <w:rFonts w:ascii="Arial" w:hAnsi="Arial" w:eastAsia="Arial" w:cs="Arial"/>
                <w:color w:val="1A1A1A"/>
                <w:sz w:val="20"/>
                <w:szCs w:val="20"/>
              </w:rPr>
              <w:t>cancel()</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A177FF3">
            <w:pPr>
              <w:jc w:val="left"/>
            </w:pPr>
            <w:r>
              <w:rPr>
                <w:rFonts w:ascii="Arial" w:hAnsi="Arial" w:eastAsia="Arial" w:cs="Arial"/>
                <w:color w:val="1A1A1A"/>
                <w:sz w:val="20"/>
                <w:szCs w:val="20"/>
              </w:rPr>
              <w:t>Red side</w:t>
            </w:r>
          </w:p>
        </w:tc>
        <w:tc>
          <w:tcPr>
            <w:tcW w:w="6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A56909E">
            <w:pPr>
              <w:jc w:val="left"/>
            </w:pPr>
            <w:r>
              <w:rPr>
                <w:rFonts w:ascii="Arial" w:hAnsi="Arial" w:eastAsia="Arial" w:cs="Arial"/>
                <w:color w:val="1A1A1A"/>
                <w:sz w:val="20"/>
                <w:szCs w:val="20"/>
              </w:rPr>
              <w:t>Cancel an unaccepted duel and issue a full refund</w:t>
            </w:r>
          </w:p>
        </w:tc>
      </w:tr>
      <w:tr w14:paraId="1EED296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992DAB5">
            <w:pPr>
              <w:jc w:val="left"/>
            </w:pPr>
            <w:r>
              <w:rPr>
                <w:rFonts w:ascii="Arial" w:hAnsi="Arial" w:eastAsia="Arial" w:cs="Arial"/>
                <w:color w:val="1A1A1A"/>
                <w:sz w:val="20"/>
                <w:szCs w:val="20"/>
              </w:rPr>
              <w:t>claim()</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36BCC76">
            <w:pPr>
              <w:jc w:val="left"/>
            </w:pPr>
            <w:r>
              <w:rPr>
                <w:rFonts w:ascii="Arial" w:hAnsi="Arial" w:eastAsia="Arial" w:cs="Arial"/>
                <w:color w:val="1A1A1A"/>
                <w:sz w:val="20"/>
                <w:szCs w:val="20"/>
              </w:rPr>
              <w:t>Anyone</w:t>
            </w:r>
          </w:p>
        </w:tc>
        <w:tc>
          <w:tcPr>
            <w:tcW w:w="6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33B90F9">
            <w:pPr>
              <w:jc w:val="left"/>
            </w:pPr>
            <w:r>
              <w:rPr>
                <w:rFonts w:ascii="Arial" w:hAnsi="Arial" w:eastAsia="Arial" w:cs="Arial"/>
                <w:color w:val="1A1A1A"/>
                <w:sz w:val="20"/>
                <w:szCs w:val="20"/>
              </w:rPr>
              <w:t>Claim the winner's prize from a settled duel</w:t>
            </w:r>
          </w:p>
        </w:tc>
      </w:tr>
      <w:tr w14:paraId="42858823">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3EC8D38">
            <w:pPr>
              <w:jc w:val="left"/>
            </w:pPr>
            <w:r>
              <w:rPr>
                <w:rFonts w:ascii="Arial" w:hAnsi="Arial" w:eastAsia="Arial" w:cs="Arial"/>
                <w:color w:val="1A1A1A"/>
                <w:sz w:val="20"/>
                <w:szCs w:val="20"/>
              </w:rPr>
              <w:t>setTreasury()</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8FFA05F">
            <w:pPr>
              <w:jc w:val="left"/>
            </w:pPr>
            <w:r>
              <w:rPr>
                <w:rFonts w:ascii="Arial" w:hAnsi="Arial" w:eastAsia="Arial" w:cs="Arial"/>
                <w:color w:val="1A1A1A"/>
                <w:sz w:val="20"/>
                <w:szCs w:val="20"/>
              </w:rPr>
              <w:t>onlyOwner</w:t>
            </w:r>
          </w:p>
        </w:tc>
        <w:tc>
          <w:tcPr>
            <w:tcW w:w="6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72A7A48">
            <w:pPr>
              <w:jc w:val="left"/>
            </w:pPr>
            <w:r>
              <w:rPr>
                <w:rFonts w:ascii="Arial" w:hAnsi="Arial" w:eastAsia="Arial" w:cs="Arial"/>
                <w:color w:val="1A1A1A"/>
                <w:sz w:val="20"/>
                <w:szCs w:val="20"/>
              </w:rPr>
              <w:t>Update the protocol fee recipient address</w:t>
            </w:r>
          </w:p>
        </w:tc>
      </w:tr>
    </w:tbl>
    <w:p w14:paraId="44AA6D65">
      <w:pPr>
        <w:spacing w:before="0" w:after="0"/>
      </w:pPr>
    </w:p>
    <w:p w14:paraId="5EDE9761">
      <w:pPr>
        <w:pStyle w:val="3"/>
        <w:spacing w:before="360" w:after="160"/>
      </w:pPr>
      <w:r>
        <w:rPr>
          <w:rFonts w:ascii="Arial" w:hAnsi="Arial" w:eastAsia="Arial" w:cs="Arial"/>
          <w:b/>
          <w:bCs/>
          <w:color w:val="1A1A1A"/>
          <w:sz w:val="28"/>
          <w:szCs w:val="28"/>
        </w:rPr>
        <w:t>3.2  Economic Model</w:t>
      </w:r>
    </w:p>
    <w:p w14:paraId="39BF6AD5">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1467FAF">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D38CC7D">
            <w:r>
              <w:rPr>
                <w:rFonts w:ascii="Arial" w:hAnsi="Arial" w:eastAsia="Arial" w:cs="Arial"/>
                <w:b/>
                <w:bCs/>
                <w:color w:val="5A5A5A"/>
                <w:sz w:val="20"/>
                <w:szCs w:val="20"/>
              </w:rPr>
              <w:t>Protocol Fee (FEE_BPS)</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6B6FC76F">
            <w:r>
              <w:rPr>
                <w:rFonts w:ascii="Arial" w:hAnsi="Arial" w:eastAsia="Arial" w:cs="Arial"/>
                <w:color w:val="1A1A1A"/>
                <w:sz w:val="20"/>
                <w:szCs w:val="20"/>
              </w:rPr>
              <w:t>200 BPS = 2.0%, automatically deducted on each settlement</w:t>
            </w:r>
          </w:p>
        </w:tc>
      </w:tr>
      <w:tr w14:paraId="59B8FC69">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DD1C07B">
            <w:r>
              <w:rPr>
                <w:rFonts w:ascii="Arial" w:hAnsi="Arial" w:eastAsia="Arial" w:cs="Arial"/>
                <w:b/>
                <w:bCs/>
                <w:color w:val="5A5A5A"/>
                <w:sz w:val="20"/>
                <w:szCs w:val="20"/>
              </w:rPr>
              <w:t>Winner Net Payout Formula</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7E7E0F07">
            <w:r>
              <w:rPr>
                <w:rFonts w:ascii="Arial" w:hAnsi="Arial" w:eastAsia="Arial" w:cs="Arial"/>
                <w:color w:val="1A1A1A"/>
                <w:sz w:val="20"/>
                <w:szCs w:val="20"/>
              </w:rPr>
              <w:t>Stake × 2 × (1 − 2%) = Stake × 1.96</w:t>
            </w:r>
          </w:p>
        </w:tc>
      </w:tr>
      <w:tr w14:paraId="1A063D1A">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3387CCE">
            <w:r>
              <w:rPr>
                <w:rFonts w:ascii="Arial" w:hAnsi="Arial" w:eastAsia="Arial" w:cs="Arial"/>
                <w:b/>
                <w:bCs/>
                <w:color w:val="5A5A5A"/>
                <w:sz w:val="20"/>
                <w:szCs w:val="20"/>
              </w:rPr>
              <w:t>Fee Destination</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D79BCF0">
            <w:r>
              <w:rPr>
                <w:rFonts w:ascii="Arial" w:hAnsi="Arial" w:eastAsia="Arial" w:cs="Arial"/>
                <w:color w:val="1A1A1A"/>
                <w:sz w:val="20"/>
                <w:szCs w:val="20"/>
              </w:rPr>
              <w:t>Transferred in real time to the treasury address (controlled by deployer; updatable via setTreasury)</w:t>
            </w:r>
          </w:p>
        </w:tc>
      </w:tr>
      <w:tr w14:paraId="12D125FA">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E81FDDC">
            <w:r>
              <w:rPr>
                <w:rFonts w:ascii="Arial" w:hAnsi="Arial" w:eastAsia="Arial" w:cs="Arial"/>
                <w:b/>
                <w:bCs/>
                <w:color w:val="5A5A5A"/>
                <w:sz w:val="20"/>
                <w:szCs w:val="20"/>
              </w:rPr>
              <w:t>Dispute Bond</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31375A5F">
            <w:r>
              <w:rPr>
                <w:rFonts w:ascii="Arial" w:hAnsi="Arial" w:eastAsia="Arial" w:cs="Arial"/>
                <w:color w:val="1A1A1A"/>
                <w:sz w:val="20"/>
                <w:szCs w:val="20"/>
              </w:rPr>
              <w:t>5% of stake amount, to prevent malicious dispute requests</w:t>
            </w:r>
          </w:p>
        </w:tc>
      </w:tr>
      <w:tr w14:paraId="5BC5FCFE">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3EB3063">
            <w:r>
              <w:rPr>
                <w:rFonts w:ascii="Arial" w:hAnsi="Arial" w:eastAsia="Arial" w:cs="Arial"/>
                <w:b/>
                <w:bCs/>
                <w:color w:val="5A5A5A"/>
                <w:sz w:val="20"/>
                <w:szCs w:val="20"/>
              </w:rPr>
              <w:t>Fund Escrow Method</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3A0B6C0F">
            <w:r>
              <w:rPr>
                <w:rFonts w:ascii="Arial" w:hAnsi="Arial" w:eastAsia="Arial" w:cs="Arial"/>
                <w:color w:val="1A1A1A"/>
                <w:sz w:val="20"/>
                <w:szCs w:val="20"/>
              </w:rPr>
              <w:t>Native tokens (MNT/BNB) or ERC20 tokens; held entirely within the contract</w:t>
            </w:r>
          </w:p>
        </w:tc>
      </w:tr>
      <w:tr w14:paraId="07FE913A">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AAD522F">
            <w:r>
              <w:rPr>
                <w:rFonts w:ascii="Arial" w:hAnsi="Arial" w:eastAsia="Arial" w:cs="Arial"/>
                <w:b/>
                <w:bCs/>
                <w:color w:val="5A5A5A"/>
                <w:sz w:val="20"/>
                <w:szCs w:val="20"/>
              </w:rPr>
              <w:t>Audience Pool (audioBps)</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1A9AFB6B">
            <w:r>
              <w:rPr>
                <w:rFonts w:ascii="Arial" w:hAnsi="Arial" w:eastAsia="Arial" w:cs="Arial"/>
                <w:color w:val="1A1A1A"/>
                <w:sz w:val="20"/>
                <w:szCs w:val="20"/>
              </w:rPr>
              <w:t>Optional parameter; sets the audience betting revenue share ratio (activated in Phase 2)</w:t>
            </w:r>
          </w:p>
        </w:tc>
      </w:tr>
    </w:tbl>
    <w:p w14:paraId="33D6DB4C">
      <w:r>
        <w:br w:type="page"/>
      </w:r>
    </w:p>
    <w:p w14:paraId="10173AB3">
      <w:pPr>
        <w:pStyle w:val="2"/>
        <w:pBdr>
          <w:bottom w:val="single" w:color="C0392B" w:sz="12" w:space="6"/>
        </w:pBdr>
        <w:spacing w:before="560" w:after="200"/>
      </w:pPr>
      <w:r>
        <w:rPr>
          <w:rFonts w:ascii="Arial" w:hAnsi="Arial" w:eastAsia="Arial" w:cs="Arial"/>
          <w:b/>
          <w:bCs/>
          <w:color w:val="1A1A1A"/>
          <w:sz w:val="36"/>
          <w:szCs w:val="36"/>
        </w:rPr>
        <w:t>Chapter 4  Market Analysis</w:t>
      </w:r>
    </w:p>
    <w:p w14:paraId="33CB87DD">
      <w:pPr>
        <w:pStyle w:val="3"/>
        <w:spacing w:before="360" w:after="160"/>
      </w:pPr>
      <w:r>
        <w:rPr>
          <w:rFonts w:ascii="Arial" w:hAnsi="Arial" w:eastAsia="Arial" w:cs="Arial"/>
          <w:b/>
          <w:bCs/>
          <w:color w:val="1A1A1A"/>
          <w:sz w:val="28"/>
          <w:szCs w:val="28"/>
        </w:rPr>
        <w:t>4.1  Target Market: The Mantle Ecosystem</w:t>
      </w:r>
    </w:p>
    <w:p w14:paraId="2DEC90C2">
      <w:pPr>
        <w:spacing w:before="60" w:after="80" w:line="380" w:lineRule="auto"/>
        <w:jc w:val="both"/>
      </w:pPr>
      <w:r>
        <w:rPr>
          <w:rFonts w:ascii="Arial" w:hAnsi="Arial" w:eastAsia="Arial" w:cs="Arial"/>
          <w:b w:val="0"/>
          <w:bCs w:val="0"/>
          <w:i w:val="0"/>
          <w:iCs w:val="0"/>
          <w:color w:val="1A1A1A"/>
          <w:sz w:val="22"/>
          <w:szCs w:val="22"/>
        </w:rPr>
        <w:t>Mantle is an Ethereum Layer 2 network whose core user base is sourced through Bybit's Web3 ecosystem gateway. As of 2026, Mantle's TVL is heavily concentrated in two DeFi protocols — Merchant Moe and Agni Finance — with a clear gap at the consumer application layer.</w:t>
      </w:r>
    </w:p>
    <w:p w14:paraId="4DA50910">
      <w:pPr>
        <w:spacing w:before="60" w:after="80" w:line="380" w:lineRule="auto"/>
        <w:jc w:val="both"/>
      </w:pPr>
      <w:r>
        <w:rPr>
          <w:rFonts w:ascii="Arial" w:hAnsi="Arial" w:eastAsia="Arial" w:cs="Arial"/>
          <w:b w:val="0"/>
          <w:bCs w:val="0"/>
          <w:i w:val="0"/>
          <w:iCs w:val="0"/>
          <w:color w:val="1A1A1A"/>
          <w:sz w:val="22"/>
          <w:szCs w:val="22"/>
        </w:rPr>
        <w:t>Through systematic analysis, five distinct gaps exist within the Mantle ecosystem that align strongly with Verdict Protocol's product matrix:</w:t>
      </w:r>
    </w:p>
    <w:p w14:paraId="02255B9B">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160"/>
      </w:tblGrid>
      <w:tr w14:paraId="59CA9DAC">
        <w:tc>
          <w:tcPr>
            <w:tcW w:w="2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6D4A54E1">
            <w:pPr>
              <w:jc w:val="center"/>
            </w:pPr>
            <w:r>
              <w:rPr>
                <w:rFonts w:ascii="Arial" w:hAnsi="Arial" w:eastAsia="Arial" w:cs="Arial"/>
                <w:b/>
                <w:bCs/>
                <w:color w:val="FFFFFF"/>
                <w:sz w:val="20"/>
                <w:szCs w:val="20"/>
              </w:rPr>
              <w:t>Ecosystem Gap</w:t>
            </w:r>
          </w:p>
        </w:tc>
        <w:tc>
          <w:tcPr>
            <w:tcW w:w="32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4B07786B">
            <w:pPr>
              <w:jc w:val="center"/>
            </w:pPr>
            <w:r>
              <w:rPr>
                <w:rFonts w:ascii="Arial" w:hAnsi="Arial" w:eastAsia="Arial" w:cs="Arial"/>
                <w:b/>
                <w:bCs/>
                <w:color w:val="FFFFFF"/>
                <w:sz w:val="20"/>
                <w:szCs w:val="20"/>
              </w:rPr>
              <w:t>Current State</w:t>
            </w:r>
          </w:p>
        </w:tc>
        <w:tc>
          <w:tcPr>
            <w:tcW w:w="41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6296D00">
            <w:pPr>
              <w:jc w:val="center"/>
            </w:pPr>
            <w:r>
              <w:rPr>
                <w:rFonts w:ascii="Arial" w:hAnsi="Arial" w:eastAsia="Arial" w:cs="Arial"/>
                <w:b/>
                <w:bCs/>
                <w:color w:val="FFFFFF"/>
                <w:sz w:val="20"/>
                <w:szCs w:val="20"/>
              </w:rPr>
              <w:t>Verdict Protocol's Entry Point</w:t>
            </w:r>
          </w:p>
        </w:tc>
      </w:tr>
      <w:tr w14:paraId="7F809D3B">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378D18D">
            <w:pPr>
              <w:jc w:val="left"/>
            </w:pPr>
            <w:r>
              <w:rPr>
                <w:rFonts w:ascii="Arial" w:hAnsi="Arial" w:eastAsia="Arial" w:cs="Arial"/>
                <w:color w:val="1A1A1A"/>
                <w:sz w:val="20"/>
                <w:szCs w:val="20"/>
              </w:rPr>
              <w:t>Consumer Apps</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040E2FD">
            <w:pPr>
              <w:jc w:val="left"/>
            </w:pPr>
            <w:r>
              <w:rPr>
                <w:rFonts w:ascii="Arial" w:hAnsi="Arial" w:eastAsia="Arial" w:cs="Arial"/>
                <w:color w:val="1A1A1A"/>
                <w:sz w:val="20"/>
                <w:szCs w:val="20"/>
              </w:rPr>
              <w:t>TVL concentrated in LP and lending; user retention relies on yield incentives; no non-financial use cases</w:t>
            </w:r>
          </w:p>
        </w:tc>
        <w:tc>
          <w:tcPr>
            <w:tcW w:w="4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E9E46AE">
            <w:pPr>
              <w:jc w:val="left"/>
            </w:pPr>
            <w:r>
              <w:rPr>
                <w:rFonts w:ascii="Arial" w:hAnsi="Arial" w:eastAsia="Arial" w:cs="Arial"/>
                <w:color w:val="1A1A1A"/>
                <w:sz w:val="20"/>
                <w:szCs w:val="20"/>
              </w:rPr>
              <w:t>Protocol Bet provides on-chain wagering; AI extension provides trading assistance</w:t>
            </w:r>
          </w:p>
        </w:tc>
      </w:tr>
      <w:tr w14:paraId="586305A2">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B99FD3D">
            <w:pPr>
              <w:jc w:val="left"/>
            </w:pPr>
            <w:r>
              <w:rPr>
                <w:rFonts w:ascii="Arial" w:hAnsi="Arial" w:eastAsia="Arial" w:cs="Arial"/>
                <w:color w:val="1A1A1A"/>
                <w:sz w:val="20"/>
                <w:szCs w:val="20"/>
              </w:rPr>
              <w:t>On-Chain Wagering / Prediction Markets</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225978C">
            <w:pPr>
              <w:jc w:val="left"/>
            </w:pPr>
            <w:r>
              <w:rPr>
                <w:rFonts w:ascii="Arial" w:hAnsi="Arial" w:eastAsia="Arial" w:cs="Arial"/>
                <w:color w:val="1A1A1A"/>
                <w:sz w:val="20"/>
                <w:szCs w:val="20"/>
              </w:rPr>
              <w:t>Products like Polymarket and Augur have not entered the Mantle ecosystem</w:t>
            </w:r>
          </w:p>
        </w:tc>
        <w:tc>
          <w:tcPr>
            <w:tcW w:w="4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0AB9F15">
            <w:pPr>
              <w:jc w:val="left"/>
            </w:pPr>
            <w:r>
              <w:rPr>
                <w:rFonts w:ascii="Arial" w:hAnsi="Arial" w:eastAsia="Arial" w:cs="Arial"/>
                <w:color w:val="1A1A1A"/>
                <w:sz w:val="20"/>
                <w:szCs w:val="20"/>
              </w:rPr>
              <w:t>Protocol Bet fills the gap and supports any topic</w:t>
            </w:r>
          </w:p>
        </w:tc>
      </w:tr>
      <w:tr w14:paraId="5A928251">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71FF77B">
            <w:pPr>
              <w:jc w:val="left"/>
            </w:pPr>
            <w:r>
              <w:rPr>
                <w:rFonts w:ascii="Arial" w:hAnsi="Arial" w:eastAsia="Arial" w:cs="Arial"/>
                <w:color w:val="1A1A1A"/>
                <w:sz w:val="20"/>
                <w:szCs w:val="20"/>
              </w:rPr>
              <w:t>AI × On-Chain Interaction</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15EE716">
            <w:pPr>
              <w:jc w:val="left"/>
            </w:pPr>
            <w:r>
              <w:rPr>
                <w:rFonts w:ascii="Arial" w:hAnsi="Arial" w:eastAsia="Arial" w:cs="Arial"/>
                <w:color w:val="1A1A1A"/>
                <w:sz w:val="20"/>
                <w:szCs w:val="20"/>
              </w:rPr>
              <w:t>MantleX and others are building infrastructure; no terminal-user-facing AI products</w:t>
            </w:r>
          </w:p>
        </w:tc>
        <w:tc>
          <w:tcPr>
            <w:tcW w:w="4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8EC2E00">
            <w:pPr>
              <w:jc w:val="left"/>
            </w:pPr>
            <w:r>
              <w:rPr>
                <w:rFonts w:ascii="Arial" w:hAnsi="Arial" w:eastAsia="Arial" w:cs="Arial"/>
                <w:color w:val="1A1A1A"/>
                <w:sz w:val="20"/>
                <w:szCs w:val="20"/>
              </w:rPr>
              <w:t>All three products are AI-native and directly user-facing</w:t>
            </w:r>
          </w:p>
        </w:tc>
      </w:tr>
      <w:tr w14:paraId="39FAEF05">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5FDC724">
            <w:pPr>
              <w:jc w:val="left"/>
            </w:pPr>
            <w:r>
              <w:rPr>
                <w:rFonts w:ascii="Arial" w:hAnsi="Arial" w:eastAsia="Arial" w:cs="Arial"/>
                <w:color w:val="1A1A1A"/>
                <w:sz w:val="20"/>
                <w:szCs w:val="20"/>
              </w:rPr>
              <w:t>KOL / Content Creator Tools</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19C4A74">
            <w:pPr>
              <w:jc w:val="left"/>
            </w:pPr>
            <w:r>
              <w:rPr>
                <w:rFonts w:ascii="Arial" w:hAnsi="Arial" w:eastAsia="Arial" w:cs="Arial"/>
                <w:color w:val="1A1A1A"/>
                <w:sz w:val="20"/>
                <w:szCs w:val="20"/>
              </w:rPr>
              <w:t>Bybit brings large numbers of KOLs, but no dedicated tools exist</w:t>
            </w:r>
          </w:p>
        </w:tc>
        <w:tc>
          <w:tcPr>
            <w:tcW w:w="4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96A93F8">
            <w:pPr>
              <w:jc w:val="left"/>
            </w:pPr>
            <w:r>
              <w:rPr>
                <w:rFonts w:ascii="Arial" w:hAnsi="Arial" w:eastAsia="Arial" w:cs="Arial"/>
                <w:color w:val="1A1A1A"/>
                <w:sz w:val="20"/>
                <w:szCs w:val="20"/>
              </w:rPr>
              <w:t>Verdict Score (Phase 1.5) is designed specifically for KOLs</w:t>
            </w:r>
          </w:p>
        </w:tc>
      </w:tr>
      <w:tr w14:paraId="693842EA">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B1F2937">
            <w:pPr>
              <w:jc w:val="left"/>
            </w:pPr>
            <w:r>
              <w:rPr>
                <w:rFonts w:ascii="Arial" w:hAnsi="Arial" w:eastAsia="Arial" w:cs="Arial"/>
                <w:color w:val="1A1A1A"/>
                <w:sz w:val="20"/>
                <w:szCs w:val="20"/>
              </w:rPr>
              <w:t>Community Interaction / Gamified DeFi</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7DF9EB8">
            <w:pPr>
              <w:jc w:val="left"/>
            </w:pPr>
            <w:r>
              <w:rPr>
                <w:rFonts w:ascii="Arial" w:hAnsi="Arial" w:eastAsia="Arial" w:cs="Arial"/>
                <w:color w:val="1A1A1A"/>
                <w:sz w:val="20"/>
                <w:szCs w:val="20"/>
              </w:rPr>
              <w:t>No non-financial interactive scenarios</w:t>
            </w:r>
          </w:p>
        </w:tc>
        <w:tc>
          <w:tcPr>
            <w:tcW w:w="4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6216824">
            <w:pPr>
              <w:jc w:val="left"/>
            </w:pPr>
            <w:r>
              <w:rPr>
                <w:rFonts w:ascii="Arial" w:hAnsi="Arial" w:eastAsia="Arial" w:cs="Arial"/>
                <w:color w:val="1A1A1A"/>
                <w:sz w:val="20"/>
                <w:szCs w:val="20"/>
              </w:rPr>
              <w:t>The Arena, community challenges, and activity campaigns are natively supported</w:t>
            </w:r>
          </w:p>
        </w:tc>
      </w:tr>
    </w:tbl>
    <w:p w14:paraId="2CE11331">
      <w:pPr>
        <w:spacing w:before="0" w:after="0"/>
      </w:pPr>
    </w:p>
    <w:p w14:paraId="7B6DB8CE">
      <w:pPr>
        <w:pStyle w:val="3"/>
        <w:spacing w:before="360" w:after="160"/>
      </w:pPr>
      <w:r>
        <w:rPr>
          <w:rFonts w:ascii="Arial" w:hAnsi="Arial" w:eastAsia="Arial" w:cs="Arial"/>
          <w:b/>
          <w:bCs/>
          <w:color w:val="1A1A1A"/>
          <w:sz w:val="28"/>
          <w:szCs w:val="28"/>
        </w:rPr>
        <w:t>4.2  Target User Segments</w:t>
      </w:r>
    </w:p>
    <w:p w14:paraId="72FE94FB">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00"/>
        <w:gridCol w:w="3760"/>
      </w:tblGrid>
      <w:tr w14:paraId="152AFA7C">
        <w:tc>
          <w:tcPr>
            <w:tcW w:w="2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652A5BA5">
            <w:pPr>
              <w:jc w:val="center"/>
            </w:pPr>
            <w:r>
              <w:rPr>
                <w:rFonts w:ascii="Arial" w:hAnsi="Arial" w:eastAsia="Arial" w:cs="Arial"/>
                <w:b/>
                <w:bCs/>
                <w:color w:val="FFFFFF"/>
                <w:sz w:val="20"/>
                <w:szCs w:val="20"/>
              </w:rPr>
              <w:t>User Type</w:t>
            </w:r>
          </w:p>
        </w:tc>
        <w:tc>
          <w:tcPr>
            <w:tcW w:w="36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65A1E5E">
            <w:pPr>
              <w:jc w:val="center"/>
            </w:pPr>
            <w:r>
              <w:rPr>
                <w:rFonts w:ascii="Arial" w:hAnsi="Arial" w:eastAsia="Arial" w:cs="Arial"/>
                <w:b/>
                <w:bCs/>
                <w:color w:val="FFFFFF"/>
                <w:sz w:val="20"/>
                <w:szCs w:val="20"/>
              </w:rPr>
              <w:t>Core Need</w:t>
            </w:r>
          </w:p>
        </w:tc>
        <w:tc>
          <w:tcPr>
            <w:tcW w:w="37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4A1B8D98">
            <w:pPr>
              <w:jc w:val="center"/>
            </w:pPr>
            <w:r>
              <w:rPr>
                <w:rFonts w:ascii="Arial" w:hAnsi="Arial" w:eastAsia="Arial" w:cs="Arial"/>
                <w:b/>
                <w:bCs/>
                <w:color w:val="FFFFFF"/>
                <w:sz w:val="20"/>
                <w:szCs w:val="20"/>
              </w:rPr>
              <w:t>Primary Product</w:t>
            </w:r>
          </w:p>
        </w:tc>
      </w:tr>
      <w:tr w14:paraId="36AC23AD">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65976F7">
            <w:pPr>
              <w:jc w:val="left"/>
            </w:pPr>
            <w:r>
              <w:rPr>
                <w:rFonts w:ascii="Arial" w:hAnsi="Arial" w:eastAsia="Arial" w:cs="Arial"/>
                <w:color w:val="1A1A1A"/>
                <w:sz w:val="20"/>
                <w:szCs w:val="20"/>
              </w:rPr>
              <w:t>Active crypto traders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72D9C5F">
            <w:pPr>
              <w:jc w:val="left"/>
            </w:pPr>
            <w:r>
              <w:rPr>
                <w:rFonts w:ascii="Arial" w:hAnsi="Arial" w:eastAsia="Arial" w:cs="Arial"/>
                <w:color w:val="1A1A1A"/>
                <w:sz w:val="20"/>
                <w:szCs w:val="20"/>
              </w:rPr>
              <w:t>Fast token risk assessment to inform buy/sell decisions</w:t>
            </w:r>
          </w:p>
        </w:tc>
        <w:tc>
          <w:tcPr>
            <w:tcW w:w="37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F5A7CF1">
            <w:pPr>
              <w:jc w:val="left"/>
            </w:pPr>
            <w:r>
              <w:rPr>
                <w:rFonts w:ascii="Arial" w:hAnsi="Arial" w:eastAsia="Arial" w:cs="Arial"/>
                <w:color w:val="1A1A1A"/>
                <w:sz w:val="20"/>
                <w:szCs w:val="20"/>
              </w:rPr>
              <w:t>Chrome Extension</w:t>
            </w:r>
          </w:p>
        </w:tc>
      </w:tr>
      <w:tr w14:paraId="2F1D7FA7">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4ACDDEA">
            <w:pPr>
              <w:jc w:val="left"/>
            </w:pPr>
            <w:r>
              <w:rPr>
                <w:rFonts w:ascii="Arial" w:hAnsi="Arial" w:eastAsia="Arial" w:cs="Arial"/>
                <w:color w:val="1A1A1A"/>
                <w:sz w:val="20"/>
                <w:szCs w:val="20"/>
              </w:rPr>
              <w:t>KOLs / Analysts</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76A50A9">
            <w:pPr>
              <w:jc w:val="left"/>
            </w:pPr>
            <w:r>
              <w:rPr>
                <w:rFonts w:ascii="Arial" w:hAnsi="Arial" w:eastAsia="Arial" w:cs="Arial"/>
                <w:color w:val="1A1A1A"/>
                <w:sz w:val="20"/>
                <w:szCs w:val="20"/>
              </w:rPr>
              <w:t>On-chain credibility backing; verifiable prediction accuracy</w:t>
            </w:r>
          </w:p>
        </w:tc>
        <w:tc>
          <w:tcPr>
            <w:tcW w:w="37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AE0988A">
            <w:pPr>
              <w:jc w:val="left"/>
            </w:pPr>
            <w:r>
              <w:rPr>
                <w:rFonts w:ascii="Arial" w:hAnsi="Arial" w:eastAsia="Arial" w:cs="Arial"/>
                <w:color w:val="1A1A1A"/>
                <w:sz w:val="20"/>
                <w:szCs w:val="20"/>
              </w:rPr>
              <w:t>Protocol Bet · Verdict Score</w:t>
            </w:r>
          </w:p>
        </w:tc>
      </w:tr>
      <w:tr w14:paraId="78384BE1">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EBAC6A6">
            <w:pPr>
              <w:jc w:val="left"/>
            </w:pPr>
            <w:r>
              <w:rPr>
                <w:rFonts w:ascii="Arial" w:hAnsi="Arial" w:eastAsia="Arial" w:cs="Arial"/>
                <w:color w:val="1A1A1A"/>
                <w:sz w:val="20"/>
                <w:szCs w:val="20"/>
              </w:rPr>
              <w:t>Community managers / Project teams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62E1448">
            <w:pPr>
              <w:jc w:val="left"/>
            </w:pPr>
            <w:r>
              <w:rPr>
                <w:rFonts w:ascii="Arial" w:hAnsi="Arial" w:eastAsia="Arial" w:cs="Arial"/>
                <w:color w:val="1A1A1A"/>
                <w:sz w:val="20"/>
                <w:szCs w:val="20"/>
              </w:rPr>
              <w:t>Drive community engagement and virality through on-chain wager campaigns</w:t>
            </w:r>
          </w:p>
        </w:tc>
        <w:tc>
          <w:tcPr>
            <w:tcW w:w="37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556788F">
            <w:pPr>
              <w:jc w:val="left"/>
            </w:pPr>
            <w:r>
              <w:rPr>
                <w:rFonts w:ascii="Arial" w:hAnsi="Arial" w:eastAsia="Arial" w:cs="Arial"/>
                <w:color w:val="1A1A1A"/>
                <w:sz w:val="20"/>
                <w:szCs w:val="20"/>
              </w:rPr>
              <w:t>Protocol Bet</w:t>
            </w:r>
          </w:p>
        </w:tc>
      </w:tr>
      <w:tr w14:paraId="3352F8F4">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CE7B069">
            <w:pPr>
              <w:jc w:val="left"/>
            </w:pPr>
            <w:r>
              <w:rPr>
                <w:rFonts w:ascii="Arial" w:hAnsi="Arial" w:eastAsia="Arial" w:cs="Arial"/>
                <w:color w:val="1A1A1A"/>
                <w:sz w:val="20"/>
                <w:szCs w:val="20"/>
              </w:rPr>
              <w:t>On-chain data enthusiasts</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66AAD87">
            <w:pPr>
              <w:jc w:val="left"/>
            </w:pPr>
            <w:r>
              <w:rPr>
                <w:rFonts w:ascii="Arial" w:hAnsi="Arial" w:eastAsia="Arial" w:cs="Arial"/>
                <w:color w:val="1A1A1A"/>
                <w:sz w:val="20"/>
                <w:szCs w:val="20"/>
              </w:rPr>
              <w:t>Real-time multi-chain whale tracking and ecosystem monitoring</w:t>
            </w:r>
          </w:p>
        </w:tc>
        <w:tc>
          <w:tcPr>
            <w:tcW w:w="37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C96030E">
            <w:pPr>
              <w:jc w:val="left"/>
            </w:pPr>
            <w:r>
              <w:rPr>
                <w:rFonts w:ascii="Arial" w:hAnsi="Arial" w:eastAsia="Arial" w:cs="Arial"/>
                <w:color w:val="1A1A1A"/>
                <w:sz w:val="20"/>
                <w:szCs w:val="20"/>
              </w:rPr>
              <w:t>Telegram Bot</w:t>
            </w:r>
          </w:p>
        </w:tc>
      </w:tr>
      <w:tr w14:paraId="32887378">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F400502">
            <w:pPr>
              <w:jc w:val="left"/>
            </w:pPr>
            <w:r>
              <w:rPr>
                <w:rFonts w:ascii="Arial" w:hAnsi="Arial" w:eastAsia="Arial" w:cs="Arial"/>
                <w:color w:val="1A1A1A"/>
                <w:sz w:val="20"/>
                <w:szCs w:val="20"/>
              </w:rPr>
              <w:t>Web3 developers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3FB8D5A">
            <w:pPr>
              <w:jc w:val="left"/>
            </w:pPr>
            <w:r>
              <w:rPr>
                <w:rFonts w:ascii="Arial" w:hAnsi="Arial" w:eastAsia="Arial" w:cs="Arial"/>
                <w:color w:val="1A1A1A"/>
                <w:sz w:val="20"/>
                <w:szCs w:val="20"/>
              </w:rPr>
              <w:t>Integrate wager protocol or AI adjudication into their own products</w:t>
            </w:r>
          </w:p>
        </w:tc>
        <w:tc>
          <w:tcPr>
            <w:tcW w:w="37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4B5A241">
            <w:pPr>
              <w:jc w:val="left"/>
            </w:pPr>
            <w:r>
              <w:rPr>
                <w:rFonts w:ascii="Arial" w:hAnsi="Arial" w:eastAsia="Arial" w:cs="Arial"/>
                <w:color w:val="1A1A1A"/>
                <w:sz w:val="20"/>
                <w:szCs w:val="20"/>
              </w:rPr>
              <w:t>npm SDK · REST API</w:t>
            </w:r>
          </w:p>
        </w:tc>
      </w:tr>
      <w:tr w14:paraId="05FBA5F9">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ED45130">
            <w:pPr>
              <w:jc w:val="left"/>
            </w:pPr>
            <w:r>
              <w:rPr>
                <w:rFonts w:ascii="Arial" w:hAnsi="Arial" w:eastAsia="Arial" w:cs="Arial"/>
                <w:color w:val="1A1A1A"/>
                <w:sz w:val="20"/>
                <w:szCs w:val="20"/>
              </w:rPr>
              <w:t>Hackathon participants</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E3C7D00">
            <w:pPr>
              <w:jc w:val="left"/>
            </w:pPr>
            <w:r>
              <w:rPr>
                <w:rFonts w:ascii="Arial" w:hAnsi="Arial" w:eastAsia="Arial" w:cs="Arial"/>
                <w:color w:val="1A1A1A"/>
                <w:sz w:val="20"/>
                <w:szCs w:val="20"/>
              </w:rPr>
              <w:t>Reusable on-chain infrastructure</w:t>
            </w:r>
          </w:p>
        </w:tc>
        <w:tc>
          <w:tcPr>
            <w:tcW w:w="37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3E431F1">
            <w:pPr>
              <w:jc w:val="left"/>
            </w:pPr>
            <w:r>
              <w:rPr>
                <w:rFonts w:ascii="Arial" w:hAnsi="Arial" w:eastAsia="Arial" w:cs="Arial"/>
                <w:color w:val="1A1A1A"/>
                <w:sz w:val="20"/>
                <w:szCs w:val="20"/>
              </w:rPr>
              <w:t>Protocol Bet contract · npm SDK</w:t>
            </w:r>
          </w:p>
        </w:tc>
      </w:tr>
    </w:tbl>
    <w:p w14:paraId="630359B7">
      <w:pPr>
        <w:spacing w:before="0" w:after="0"/>
      </w:pPr>
    </w:p>
    <w:p w14:paraId="355E37D6">
      <w:pPr>
        <w:pStyle w:val="3"/>
        <w:spacing w:before="360" w:after="160"/>
      </w:pPr>
      <w:r>
        <w:rPr>
          <w:rFonts w:ascii="Arial" w:hAnsi="Arial" w:eastAsia="Arial" w:cs="Arial"/>
          <w:b/>
          <w:bCs/>
          <w:color w:val="1A1A1A"/>
          <w:sz w:val="28"/>
          <w:szCs w:val="28"/>
        </w:rPr>
        <w:t>4.3  Market Size Reference</w:t>
      </w:r>
    </w:p>
    <w:p w14:paraId="0FBF7F07">
      <w:pPr>
        <w:spacing w:before="60" w:after="80" w:line="380" w:lineRule="auto"/>
        <w:jc w:val="both"/>
      </w:pPr>
      <w:r>
        <w:rPr>
          <w:rFonts w:ascii="Arial" w:hAnsi="Arial" w:eastAsia="Arial" w:cs="Arial"/>
          <w:b w:val="0"/>
          <w:bCs w:val="0"/>
          <w:i w:val="0"/>
          <w:iCs w:val="0"/>
          <w:color w:val="1A1A1A"/>
          <w:sz w:val="22"/>
          <w:szCs w:val="22"/>
        </w:rPr>
        <w:t>The following data points are provided for strategic planning reference:</w:t>
      </w:r>
    </w:p>
    <w:p w14:paraId="04DC1C9E">
      <w:pPr>
        <w:pStyle w:val="16"/>
        <w:numPr>
          <w:ilvl w:val="0"/>
          <w:numId w:val="1"/>
        </w:numPr>
        <w:spacing w:before="60" w:after="60" w:line="360" w:lineRule="auto"/>
      </w:pPr>
      <w:r>
        <w:rPr>
          <w:rFonts w:ascii="Arial" w:hAnsi="Arial" w:eastAsia="Arial" w:cs="Arial"/>
          <w:color w:val="1A1A1A"/>
          <w:sz w:val="22"/>
          <w:szCs w:val="22"/>
        </w:rPr>
        <w:t>Global prediction market size (2025): approximately $12 billion USD; CAGR approximately 12%</w:t>
      </w:r>
    </w:p>
    <w:p w14:paraId="399E8759">
      <w:pPr>
        <w:pStyle w:val="16"/>
        <w:numPr>
          <w:ilvl w:val="0"/>
          <w:numId w:val="1"/>
        </w:numPr>
        <w:spacing w:before="60" w:after="60" w:line="360" w:lineRule="auto"/>
      </w:pPr>
      <w:r>
        <w:rPr>
          <w:rFonts w:ascii="Arial" w:hAnsi="Arial" w:eastAsia="Arial" w:cs="Arial"/>
          <w:color w:val="1A1A1A"/>
          <w:sz w:val="22"/>
          <w:szCs w:val="22"/>
        </w:rPr>
        <w:t>Decentralized prediction markets (Polymarket 2024): peak daily trading volume exceeded $50 million USD</w:t>
      </w:r>
    </w:p>
    <w:p w14:paraId="4644F138">
      <w:pPr>
        <w:pStyle w:val="16"/>
        <w:numPr>
          <w:ilvl w:val="0"/>
          <w:numId w:val="1"/>
        </w:numPr>
        <w:spacing w:before="60" w:after="60" w:line="360" w:lineRule="auto"/>
      </w:pPr>
      <w:r>
        <w:rPr>
          <w:rFonts w:ascii="Arial" w:hAnsi="Arial" w:eastAsia="Arial" w:cs="Arial"/>
          <w:color w:val="1A1A1A"/>
          <w:sz w:val="22"/>
          <w:szCs w:val="22"/>
        </w:rPr>
        <w:t>Mantle ecosystem monthly active addresses (Q4 2025): approximately 400,000, growing steadily</w:t>
      </w:r>
    </w:p>
    <w:p w14:paraId="52CE6EA8">
      <w:pPr>
        <w:pStyle w:val="16"/>
        <w:numPr>
          <w:ilvl w:val="0"/>
          <w:numId w:val="1"/>
        </w:numPr>
        <w:spacing w:before="60" w:after="60" w:line="360" w:lineRule="auto"/>
      </w:pPr>
      <w:r>
        <w:rPr>
          <w:rFonts w:ascii="Arial" w:hAnsi="Arial" w:eastAsia="Arial" w:cs="Arial"/>
          <w:color w:val="1A1A1A"/>
          <w:sz w:val="22"/>
          <w:szCs w:val="22"/>
        </w:rPr>
        <w:t>Bybit registered users: over 30 million — the largest potential user base for the Mantle ecosystem</w:t>
      </w:r>
    </w:p>
    <w:p w14:paraId="68225335">
      <w:pPr>
        <w:pStyle w:val="16"/>
        <w:numPr>
          <w:ilvl w:val="0"/>
          <w:numId w:val="1"/>
        </w:numPr>
        <w:spacing w:before="60" w:after="60" w:line="360" w:lineRule="auto"/>
      </w:pPr>
      <w:r>
        <w:rPr>
          <w:rFonts w:ascii="Arial" w:hAnsi="Arial" w:eastAsia="Arial" w:cs="Arial"/>
          <w:color w:val="1A1A1A"/>
          <w:sz w:val="22"/>
          <w:szCs w:val="22"/>
        </w:rPr>
        <w:t>"Non-financial entertainment on-chain interaction" within DeFi currently near zero — a genuine blue ocean</w:t>
      </w:r>
    </w:p>
    <w:p w14:paraId="47AB46CF">
      <w:r>
        <w:br w:type="page"/>
      </w:r>
    </w:p>
    <w:p w14:paraId="3FAE4CB3">
      <w:pPr>
        <w:pStyle w:val="2"/>
        <w:pBdr>
          <w:bottom w:val="single" w:color="C0392B" w:sz="12" w:space="6"/>
        </w:pBdr>
        <w:spacing w:before="560" w:after="200"/>
      </w:pPr>
      <w:r>
        <w:rPr>
          <w:rFonts w:ascii="Arial" w:hAnsi="Arial" w:eastAsia="Arial" w:cs="Arial"/>
          <w:b/>
          <w:bCs/>
          <w:color w:val="1A1A1A"/>
          <w:sz w:val="36"/>
          <w:szCs w:val="36"/>
        </w:rPr>
        <w:t>Chapter 5  Competitive Analysis</w:t>
      </w:r>
    </w:p>
    <w:p w14:paraId="197B8812">
      <w:pPr>
        <w:pStyle w:val="3"/>
        <w:spacing w:before="360" w:after="160"/>
      </w:pPr>
      <w:r>
        <w:rPr>
          <w:rFonts w:ascii="Arial" w:hAnsi="Arial" w:eastAsia="Arial" w:cs="Arial"/>
          <w:b/>
          <w:bCs/>
          <w:color w:val="1A1A1A"/>
          <w:sz w:val="28"/>
          <w:szCs w:val="28"/>
        </w:rPr>
        <w:t>5.1  Competitive Comparison</w:t>
      </w:r>
    </w:p>
    <w:p w14:paraId="3ACE5DE2">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700"/>
        <w:gridCol w:w="1400"/>
        <w:gridCol w:w="1400"/>
        <w:gridCol w:w="1660"/>
      </w:tblGrid>
      <w:tr w14:paraId="15DDF107">
        <w:tc>
          <w:tcPr>
            <w:tcW w:w="32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25EEE9BF">
            <w:pPr>
              <w:jc w:val="center"/>
            </w:pPr>
            <w:r>
              <w:rPr>
                <w:rFonts w:ascii="Arial" w:hAnsi="Arial" w:eastAsia="Arial" w:cs="Arial"/>
                <w:b/>
                <w:bCs/>
                <w:color w:val="FFFFFF"/>
                <w:sz w:val="20"/>
                <w:szCs w:val="20"/>
              </w:rPr>
              <w:t>Feature</w:t>
            </w:r>
          </w:p>
        </w:tc>
        <w:tc>
          <w:tcPr>
            <w:tcW w:w="17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68F81A34">
            <w:pPr>
              <w:jc w:val="center"/>
            </w:pPr>
            <w:r>
              <w:rPr>
                <w:rFonts w:ascii="Arial" w:hAnsi="Arial" w:eastAsia="Arial" w:cs="Arial"/>
                <w:b/>
                <w:bCs/>
                <w:color w:val="FFFFFF"/>
                <w:sz w:val="20"/>
                <w:szCs w:val="20"/>
              </w:rPr>
              <w:t>Verdict Protocol</w:t>
            </w:r>
          </w:p>
        </w:tc>
        <w:tc>
          <w:tcPr>
            <w:tcW w:w="1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2E35A6C7">
            <w:pPr>
              <w:jc w:val="center"/>
            </w:pPr>
            <w:r>
              <w:rPr>
                <w:rFonts w:ascii="Arial" w:hAnsi="Arial" w:eastAsia="Arial" w:cs="Arial"/>
                <w:b/>
                <w:bCs/>
                <w:color w:val="FFFFFF"/>
                <w:sz w:val="20"/>
                <w:szCs w:val="20"/>
              </w:rPr>
              <w:t>Polymarket</w:t>
            </w:r>
          </w:p>
        </w:tc>
        <w:tc>
          <w:tcPr>
            <w:tcW w:w="1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4F279F4E">
            <w:pPr>
              <w:jc w:val="center"/>
            </w:pPr>
            <w:r>
              <w:rPr>
                <w:rFonts w:ascii="Arial" w:hAnsi="Arial" w:eastAsia="Arial" w:cs="Arial"/>
                <w:b/>
                <w:bCs/>
                <w:color w:val="FFFFFF"/>
                <w:sz w:val="20"/>
                <w:szCs w:val="20"/>
              </w:rPr>
              <w:t>Augur</w:t>
            </w:r>
          </w:p>
        </w:tc>
        <w:tc>
          <w:tcPr>
            <w:tcW w:w="16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20BD70DA">
            <w:pPr>
              <w:jc w:val="center"/>
            </w:pPr>
            <w:r>
              <w:rPr>
                <w:rFonts w:ascii="Arial" w:hAnsi="Arial" w:eastAsia="Arial" w:cs="Arial"/>
                <w:b/>
                <w:bCs/>
                <w:color w:val="FFFFFF"/>
                <w:sz w:val="20"/>
                <w:szCs w:val="20"/>
              </w:rPr>
              <w:t>UMA</w:t>
            </w:r>
          </w:p>
        </w:tc>
      </w:tr>
      <w:tr w14:paraId="01BAE55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3A22F9F">
            <w:pPr>
              <w:jc w:val="left"/>
            </w:pPr>
            <w:r>
              <w:rPr>
                <w:rFonts w:ascii="Arial" w:hAnsi="Arial" w:eastAsia="Arial" w:cs="Arial"/>
                <w:color w:val="1A1A1A"/>
                <w:sz w:val="20"/>
                <w:szCs w:val="20"/>
              </w:rPr>
              <w:t>Any topic (not just market predictions)</w:t>
            </w:r>
          </w:p>
        </w:tc>
        <w:tc>
          <w:tcPr>
            <w:tcW w:w="17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2FCADAE">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201301D">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47FE39D">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293EC10">
            <w:pPr>
              <w:jc w:val="left"/>
            </w:pPr>
            <w:r>
              <w:rPr>
                <w:rFonts w:ascii="Arial" w:hAnsi="Arial" w:eastAsia="Arial" w:cs="Arial"/>
                <w:color w:val="1A1A1A"/>
                <w:sz w:val="20"/>
                <w:szCs w:val="20"/>
              </w:rPr>
              <w:t>Partial</w:t>
            </w:r>
          </w:p>
        </w:tc>
      </w:tr>
      <w:tr w14:paraId="42F66662">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B6A8B61">
            <w:pPr>
              <w:jc w:val="left"/>
            </w:pPr>
            <w:r>
              <w:rPr>
                <w:rFonts w:ascii="Arial" w:hAnsi="Arial" w:eastAsia="Arial" w:cs="Arial"/>
                <w:color w:val="1A1A1A"/>
                <w:sz w:val="20"/>
                <w:szCs w:val="20"/>
              </w:rPr>
              <w:t>Peer-to-peer 1v1 mode</w:t>
            </w:r>
          </w:p>
        </w:tc>
        <w:tc>
          <w:tcPr>
            <w:tcW w:w="17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D31C2C1">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26F1119">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36EC159">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4583905">
            <w:pPr>
              <w:jc w:val="left"/>
            </w:pPr>
            <w:r>
              <w:rPr>
                <w:rFonts w:ascii="Arial" w:hAnsi="Arial" w:eastAsia="Arial" w:cs="Arial"/>
                <w:color w:val="1A1A1A"/>
                <w:sz w:val="20"/>
                <w:szCs w:val="20"/>
              </w:rPr>
              <w:t>✗</w:t>
            </w:r>
          </w:p>
        </w:tc>
      </w:tr>
      <w:tr w14:paraId="37B47751">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218821D">
            <w:pPr>
              <w:jc w:val="left"/>
            </w:pPr>
            <w:r>
              <w:rPr>
                <w:rFonts w:ascii="Arial" w:hAnsi="Arial" w:eastAsia="Arial" w:cs="Arial"/>
                <w:color w:val="1A1A1A"/>
                <w:sz w:val="20"/>
                <w:szCs w:val="20"/>
              </w:rPr>
              <w:t>AI Judge automatic adjudication</w:t>
            </w:r>
          </w:p>
        </w:tc>
        <w:tc>
          <w:tcPr>
            <w:tcW w:w="17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B59075B">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47806A1">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060E9F4">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6BC42F5">
            <w:pPr>
              <w:jc w:val="left"/>
            </w:pPr>
            <w:r>
              <w:rPr>
                <w:rFonts w:ascii="Arial" w:hAnsi="Arial" w:eastAsia="Arial" w:cs="Arial"/>
                <w:color w:val="1A1A1A"/>
                <w:sz w:val="20"/>
                <w:szCs w:val="20"/>
              </w:rPr>
              <w:t>✗</w:t>
            </w:r>
          </w:p>
        </w:tc>
      </w:tr>
      <w:tr w14:paraId="442B3924">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DFED41E">
            <w:pPr>
              <w:jc w:val="left"/>
            </w:pPr>
            <w:r>
              <w:rPr>
                <w:rFonts w:ascii="Arial" w:hAnsi="Arial" w:eastAsia="Arial" w:cs="Arial"/>
                <w:color w:val="1A1A1A"/>
                <w:sz w:val="20"/>
                <w:szCs w:val="20"/>
              </w:rPr>
              <w:t>No centralized arbitrator</w:t>
            </w:r>
          </w:p>
        </w:tc>
        <w:tc>
          <w:tcPr>
            <w:tcW w:w="17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13337B8">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1A6F980">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A835156">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95DFC36">
            <w:pPr>
              <w:jc w:val="left"/>
            </w:pPr>
            <w:r>
              <w:rPr>
                <w:rFonts w:ascii="Arial" w:hAnsi="Arial" w:eastAsia="Arial" w:cs="Arial"/>
                <w:color w:val="1A1A1A"/>
                <w:sz w:val="20"/>
                <w:szCs w:val="20"/>
              </w:rPr>
              <w:t>✓</w:t>
            </w:r>
          </w:p>
        </w:tc>
      </w:tr>
      <w:tr w14:paraId="44044C83">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EAF2738">
            <w:pPr>
              <w:jc w:val="left"/>
            </w:pPr>
            <w:r>
              <w:rPr>
                <w:rFonts w:ascii="Arial" w:hAnsi="Arial" w:eastAsia="Arial" w:cs="Arial"/>
                <w:color w:val="1A1A1A"/>
                <w:sz w:val="20"/>
                <w:szCs w:val="20"/>
              </w:rPr>
              <w:t>Social / personal wagers</w:t>
            </w:r>
          </w:p>
        </w:tc>
        <w:tc>
          <w:tcPr>
            <w:tcW w:w="17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D16E90D">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F165923">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E94F1A0">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BD074A0">
            <w:pPr>
              <w:jc w:val="left"/>
            </w:pPr>
            <w:r>
              <w:rPr>
                <w:rFonts w:ascii="Arial" w:hAnsi="Arial" w:eastAsia="Arial" w:cs="Arial"/>
                <w:color w:val="1A1A1A"/>
                <w:sz w:val="20"/>
                <w:szCs w:val="20"/>
              </w:rPr>
              <w:t>✗</w:t>
            </w:r>
          </w:p>
        </w:tc>
      </w:tr>
      <w:tr w14:paraId="786C7A25">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FFA8FDF">
            <w:pPr>
              <w:jc w:val="left"/>
            </w:pPr>
            <w:r>
              <w:rPr>
                <w:rFonts w:ascii="Arial" w:hAnsi="Arial" w:eastAsia="Arial" w:cs="Arial"/>
                <w:color w:val="1A1A1A"/>
                <w:sz w:val="20"/>
                <w:szCs w:val="20"/>
              </w:rPr>
              <w:t>Telegram Bot integration</w:t>
            </w:r>
          </w:p>
        </w:tc>
        <w:tc>
          <w:tcPr>
            <w:tcW w:w="17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18220B2">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E1B12AC">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646BDBD">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E19A623">
            <w:pPr>
              <w:jc w:val="left"/>
            </w:pPr>
            <w:r>
              <w:rPr>
                <w:rFonts w:ascii="Arial" w:hAnsi="Arial" w:eastAsia="Arial" w:cs="Arial"/>
                <w:color w:val="1A1A1A"/>
                <w:sz w:val="20"/>
                <w:szCs w:val="20"/>
              </w:rPr>
              <w:t>✗</w:t>
            </w:r>
          </w:p>
        </w:tc>
      </w:tr>
      <w:tr w14:paraId="79E6F88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FECA93A">
            <w:pPr>
              <w:jc w:val="left"/>
            </w:pPr>
            <w:r>
              <w:rPr>
                <w:rFonts w:ascii="Arial" w:hAnsi="Arial" w:eastAsia="Arial" w:cs="Arial"/>
                <w:color w:val="1A1A1A"/>
                <w:sz w:val="20"/>
                <w:szCs w:val="20"/>
              </w:rPr>
              <w:t>Browser extension coverage</w:t>
            </w:r>
          </w:p>
        </w:tc>
        <w:tc>
          <w:tcPr>
            <w:tcW w:w="17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62DAC36">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8AACD2C">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D85EC16">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E06281B">
            <w:pPr>
              <w:jc w:val="left"/>
            </w:pPr>
            <w:r>
              <w:rPr>
                <w:rFonts w:ascii="Arial" w:hAnsi="Arial" w:eastAsia="Arial" w:cs="Arial"/>
                <w:color w:val="1A1A1A"/>
                <w:sz w:val="20"/>
                <w:szCs w:val="20"/>
              </w:rPr>
              <w:t>✗</w:t>
            </w:r>
          </w:p>
        </w:tc>
      </w:tr>
      <w:tr w14:paraId="265C3DAD">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8A10622">
            <w:pPr>
              <w:jc w:val="left"/>
            </w:pPr>
            <w:r>
              <w:rPr>
                <w:rFonts w:ascii="Arial" w:hAnsi="Arial" w:eastAsia="Arial" w:cs="Arial"/>
                <w:color w:val="1A1A1A"/>
                <w:sz w:val="20"/>
                <w:szCs w:val="20"/>
              </w:rPr>
              <w:t>npm SDK open integration</w:t>
            </w:r>
          </w:p>
        </w:tc>
        <w:tc>
          <w:tcPr>
            <w:tcW w:w="17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69C0BA4">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BF4EE81">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B66257B">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732E7EA">
            <w:pPr>
              <w:jc w:val="left"/>
            </w:pPr>
            <w:r>
              <w:rPr>
                <w:rFonts w:ascii="Arial" w:hAnsi="Arial" w:eastAsia="Arial" w:cs="Arial"/>
                <w:color w:val="1A1A1A"/>
                <w:sz w:val="20"/>
                <w:szCs w:val="20"/>
              </w:rPr>
              <w:t>Partial</w:t>
            </w:r>
          </w:p>
        </w:tc>
      </w:tr>
      <w:tr w14:paraId="730BBD0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E8ACBD1">
            <w:pPr>
              <w:jc w:val="left"/>
            </w:pPr>
            <w:r>
              <w:rPr>
                <w:rFonts w:ascii="Arial" w:hAnsi="Arial" w:eastAsia="Arial" w:cs="Arial"/>
                <w:color w:val="1A1A1A"/>
                <w:sz w:val="20"/>
                <w:szCs w:val="20"/>
              </w:rPr>
              <w:t>Mantle ecosystem native</w:t>
            </w:r>
          </w:p>
        </w:tc>
        <w:tc>
          <w:tcPr>
            <w:tcW w:w="17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AD9FD99">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90E9D68">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2664FC4">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41CE465">
            <w:pPr>
              <w:jc w:val="left"/>
            </w:pPr>
            <w:r>
              <w:rPr>
                <w:rFonts w:ascii="Arial" w:hAnsi="Arial" w:eastAsia="Arial" w:cs="Arial"/>
                <w:color w:val="1A1A1A"/>
                <w:sz w:val="20"/>
                <w:szCs w:val="20"/>
              </w:rPr>
              <w:t>✗</w:t>
            </w:r>
          </w:p>
        </w:tc>
      </w:tr>
      <w:tr w14:paraId="05AD7808">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9DE558E">
            <w:pPr>
              <w:jc w:val="left"/>
            </w:pPr>
            <w:r>
              <w:rPr>
                <w:rFonts w:ascii="Arial" w:hAnsi="Arial" w:eastAsia="Arial" w:cs="Arial"/>
                <w:color w:val="1A1A1A"/>
                <w:sz w:val="20"/>
                <w:szCs w:val="20"/>
              </w:rPr>
              <w:t>Trustless on-chain settlement</w:t>
            </w:r>
          </w:p>
        </w:tc>
        <w:tc>
          <w:tcPr>
            <w:tcW w:w="17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A1AB12A">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DC28C0A">
            <w:pPr>
              <w:jc w:val="left"/>
            </w:pPr>
            <w:r>
              <w:rPr>
                <w:rFonts w:ascii="Arial" w:hAnsi="Arial" w:eastAsia="Arial" w:cs="Arial"/>
                <w:color w:val="1A1A1A"/>
                <w:sz w:val="20"/>
                <w:szCs w:val="20"/>
              </w:rPr>
              <w:t>✓</w:t>
            </w:r>
          </w:p>
        </w:tc>
        <w:tc>
          <w:tcPr>
            <w:tcW w:w="1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451BF4E">
            <w:pPr>
              <w:jc w:val="left"/>
            </w:pPr>
            <w:r>
              <w:rPr>
                <w:rFonts w:ascii="Arial" w:hAnsi="Arial" w:eastAsia="Arial" w:cs="Arial"/>
                <w:color w:val="1A1A1A"/>
                <w:sz w:val="20"/>
                <w:szCs w:val="20"/>
              </w:rPr>
              <w:t>✓</w:t>
            </w:r>
          </w:p>
        </w:tc>
        <w:tc>
          <w:tcPr>
            <w:tcW w:w="16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1CA5D73">
            <w:pPr>
              <w:jc w:val="left"/>
            </w:pPr>
            <w:r>
              <w:rPr>
                <w:rFonts w:ascii="Arial" w:hAnsi="Arial" w:eastAsia="Arial" w:cs="Arial"/>
                <w:color w:val="1A1A1A"/>
                <w:sz w:val="20"/>
                <w:szCs w:val="20"/>
              </w:rPr>
              <w:t>✓</w:t>
            </w:r>
          </w:p>
        </w:tc>
      </w:tr>
    </w:tbl>
    <w:p w14:paraId="0DBFC392">
      <w:pPr>
        <w:spacing w:before="0" w:after="0"/>
      </w:pPr>
    </w:p>
    <w:p w14:paraId="60EA767A">
      <w:pPr>
        <w:pStyle w:val="3"/>
        <w:spacing w:before="360" w:after="160"/>
      </w:pPr>
      <w:r>
        <w:rPr>
          <w:rFonts w:ascii="Arial" w:hAnsi="Arial" w:eastAsia="Arial" w:cs="Arial"/>
          <w:b/>
          <w:bCs/>
          <w:color w:val="1A1A1A"/>
          <w:sz w:val="28"/>
          <w:szCs w:val="28"/>
        </w:rPr>
        <w:t>5.2  Core Competitive Moats</w:t>
      </w:r>
    </w:p>
    <w:p w14:paraId="6B994573">
      <w:pPr>
        <w:spacing w:before="60" w:after="80" w:line="380" w:lineRule="auto"/>
        <w:jc w:val="both"/>
      </w:pPr>
      <w:r>
        <w:rPr>
          <w:rFonts w:ascii="Arial" w:hAnsi="Arial" w:eastAsia="Arial" w:cs="Arial"/>
          <w:b w:val="0"/>
          <w:bCs w:val="0"/>
          <w:i w:val="0"/>
          <w:iCs w:val="0"/>
          <w:color w:val="1A1A1A"/>
          <w:sz w:val="22"/>
          <w:szCs w:val="22"/>
        </w:rPr>
        <w:t>Verdict Protocol's competitive advantage stems from four compounding moats:</w:t>
      </w:r>
    </w:p>
    <w:p w14:paraId="14974908">
      <w:pPr>
        <w:spacing w:before="0" w:after="0"/>
      </w:pPr>
    </w:p>
    <w:p w14:paraId="5F9D75EE">
      <w:pPr>
        <w:pStyle w:val="16"/>
        <w:numPr>
          <w:ilvl w:val="0"/>
          <w:numId w:val="2"/>
        </w:numPr>
        <w:spacing w:before="60" w:after="60" w:line="360" w:lineRule="auto"/>
      </w:pPr>
      <w:r>
        <w:rPr>
          <w:rFonts w:ascii="Arial" w:hAnsi="Arial" w:eastAsia="Arial" w:cs="Arial"/>
          <w:color w:val="1A1A1A"/>
          <w:sz w:val="22"/>
          <w:szCs w:val="22"/>
        </w:rPr>
        <w:t>Technology moat — AI Judge's ability to transform natural-language disputes into on-chain rulings has no comparable product on the market today; replicating it requires substantial engineering investment.</w:t>
      </w:r>
    </w:p>
    <w:p w14:paraId="006A6B2E">
      <w:pPr>
        <w:pStyle w:val="16"/>
        <w:numPr>
          <w:ilvl w:val="0"/>
          <w:numId w:val="2"/>
        </w:numPr>
        <w:spacing w:before="60" w:after="60" w:line="360" w:lineRule="auto"/>
      </w:pPr>
      <w:r>
        <w:rPr>
          <w:rFonts w:ascii="Arial" w:hAnsi="Arial" w:eastAsia="Arial" w:cs="Arial"/>
          <w:color w:val="1A1A1A"/>
          <w:sz w:val="22"/>
          <w:szCs w:val="22"/>
        </w:rPr>
        <w:t>Product matrix moat — The extension + Bot + Protocol Bet ecosystem creates a self-reinforcing traffic loop; no single product can fully replicate this ecosystem.</w:t>
      </w:r>
    </w:p>
    <w:p w14:paraId="32C89952">
      <w:pPr>
        <w:pStyle w:val="16"/>
        <w:numPr>
          <w:ilvl w:val="0"/>
          <w:numId w:val="2"/>
        </w:numPr>
        <w:spacing w:before="60" w:after="60" w:line="360" w:lineRule="auto"/>
      </w:pPr>
      <w:r>
        <w:rPr>
          <w:rFonts w:ascii="Arial" w:hAnsi="Arial" w:eastAsia="Arial" w:cs="Arial"/>
          <w:color w:val="1A1A1A"/>
          <w:sz w:val="22"/>
          <w:szCs w:val="22"/>
        </w:rPr>
        <w:t>Data moat — As adjudication data accumulates, AI Judge's ruling quality will continuously improve, forming a data flywheel effect.</w:t>
      </w:r>
    </w:p>
    <w:p w14:paraId="5E76DB76">
      <w:pPr>
        <w:pStyle w:val="16"/>
        <w:numPr>
          <w:ilvl w:val="0"/>
          <w:numId w:val="2"/>
        </w:numPr>
        <w:spacing w:before="60" w:after="60" w:line="360" w:lineRule="auto"/>
      </w:pPr>
      <w:r>
        <w:rPr>
          <w:rFonts w:ascii="Arial" w:hAnsi="Arial" w:eastAsia="Arial" w:cs="Arial"/>
          <w:color w:val="1A1A1A"/>
          <w:sz w:val="22"/>
          <w:szCs w:val="22"/>
        </w:rPr>
        <w:t>First-mover moat — Establishing the 'on-chain wagering' brand identity in the Mantle ecosystem early; first-mover advantage is especially significant in the early stages of an ecosystem.</w:t>
      </w:r>
    </w:p>
    <w:p w14:paraId="3A7CA3C4">
      <w:r>
        <w:br w:type="page"/>
      </w:r>
    </w:p>
    <w:p w14:paraId="1A9DE061">
      <w:pPr>
        <w:pStyle w:val="2"/>
        <w:pBdr>
          <w:bottom w:val="single" w:color="C0392B" w:sz="12" w:space="6"/>
        </w:pBdr>
        <w:spacing w:before="560" w:after="200"/>
      </w:pPr>
      <w:r>
        <w:rPr>
          <w:rFonts w:ascii="Arial" w:hAnsi="Arial" w:eastAsia="Arial" w:cs="Arial"/>
          <w:b/>
          <w:bCs/>
          <w:color w:val="1A1A1A"/>
          <w:sz w:val="36"/>
          <w:szCs w:val="36"/>
        </w:rPr>
        <w:t>Chapter 6  Version Roadmap</w:t>
      </w:r>
    </w:p>
    <w:p w14:paraId="4D47291D">
      <w:pPr>
        <w:spacing w:before="60" w:after="80" w:line="380" w:lineRule="auto"/>
        <w:jc w:val="both"/>
      </w:pPr>
      <w:r>
        <w:rPr>
          <w:rFonts w:ascii="Arial" w:hAnsi="Arial" w:eastAsia="Arial" w:cs="Arial"/>
          <w:b w:val="0"/>
          <w:bCs w:val="0"/>
          <w:i w:val="0"/>
          <w:iCs w:val="0"/>
          <w:color w:val="1A1A1A"/>
          <w:sz w:val="22"/>
          <w:szCs w:val="22"/>
        </w:rPr>
        <w:t>This chapter provides a detailed roadmap from the current Testnet stage through the Phase 3 expansion stage. Each phase has clear objectives and boundaries, arranged in order of priority and technical dependencies.</w:t>
      </w:r>
    </w:p>
    <w:p w14:paraId="272C8407">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4C6390">
        <w:tc>
          <w:tcPr>
            <w:tcW w:w="9360" w:type="dxa"/>
            <w:tcBorders>
              <w:top w:val="single" w:color="1A5276" w:sz="0" w:space="0"/>
              <w:left w:val="single" w:color="1A5276" w:sz="0" w:space="0"/>
              <w:bottom w:val="single" w:color="1A5276" w:sz="0" w:space="0"/>
              <w:right w:val="single" w:color="1A5276" w:sz="0" w:space="0"/>
            </w:tcBorders>
            <w:shd w:val="clear" w:color="auto" w:fill="1A5276"/>
            <w:tcMar>
              <w:top w:w="120" w:type="dxa"/>
              <w:left w:w="200" w:type="dxa"/>
              <w:bottom w:w="120" w:type="dxa"/>
              <w:right w:w="200" w:type="dxa"/>
            </w:tcMar>
          </w:tcPr>
          <w:p w14:paraId="237CB5AC">
            <w:r>
              <w:rPr>
                <w:rFonts w:ascii="Arial" w:hAnsi="Arial" w:eastAsia="Arial" w:cs="Arial"/>
                <w:b/>
                <w:bCs/>
                <w:color w:val="FFFFFF"/>
                <w:sz w:val="20"/>
                <w:szCs w:val="20"/>
              </w:rPr>
              <w:t>Phase 1</w:t>
            </w:r>
            <w:r>
              <w:rPr>
                <w:rFonts w:ascii="Arial" w:hAnsi="Arial" w:eastAsia="Arial" w:cs="Arial"/>
                <w:color w:val="FFFFFF"/>
                <w:sz w:val="20"/>
                <w:szCs w:val="20"/>
              </w:rPr>
              <w:t xml:space="preserve">  |  Current Stage ✅  Complete  |  Testnet Full Launch</w:t>
            </w:r>
          </w:p>
        </w:tc>
      </w:tr>
      <w:tr w14:paraId="5D53B117">
        <w:tc>
          <w:tcPr>
            <w:tcW w:w="9360" w:type="dxa"/>
            <w:tcBorders>
              <w:top w:val="single" w:color="DDDDDD" w:sz="0" w:space="0"/>
              <w:left w:val="single" w:color="DDDDDD" w:sz="0" w:space="0"/>
              <w:bottom w:val="single" w:color="DDDDDD" w:sz="0" w:space="0"/>
              <w:right w:val="single" w:color="DDDDDD" w:sz="0" w:space="0"/>
            </w:tcBorders>
            <w:tcMar>
              <w:top w:w="120" w:type="dxa"/>
              <w:left w:w="200" w:type="dxa"/>
              <w:bottom w:w="120" w:type="dxa"/>
              <w:right w:w="200" w:type="dxa"/>
            </w:tcMar>
          </w:tcPr>
          <w:p w14:paraId="125A59A4">
            <w:pPr>
              <w:pStyle w:val="16"/>
              <w:numPr>
                <w:ilvl w:val="0"/>
                <w:numId w:val="1"/>
              </w:numPr>
              <w:spacing w:before="40" w:after="40"/>
            </w:pPr>
            <w:r>
              <w:rPr>
                <w:rFonts w:ascii="Arial" w:hAnsi="Arial" w:eastAsia="Arial" w:cs="Arial"/>
                <w:color w:val="1A1A1A"/>
                <w:sz w:val="20"/>
                <w:szCs w:val="20"/>
              </w:rPr>
              <w:t>Chrome Extension live — supports DexScreener / GMGN / four.meme / Ave.ai</w:t>
            </w:r>
          </w:p>
          <w:p w14:paraId="350851E4">
            <w:pPr>
              <w:pStyle w:val="16"/>
              <w:numPr>
                <w:ilvl w:val="0"/>
                <w:numId w:val="1"/>
              </w:numPr>
              <w:spacing w:before="40" w:after="40"/>
            </w:pPr>
            <w:r>
              <w:rPr>
                <w:rFonts w:ascii="Arial" w:hAnsi="Arial" w:eastAsia="Arial" w:cs="Arial"/>
                <w:color w:val="1A1A1A"/>
                <w:sz w:val="20"/>
                <w:szCs w:val="20"/>
              </w:rPr>
              <w:t>Telegram Bot live — /scan /compare /whale /price /mantle /watch (6 core commands)</w:t>
            </w:r>
          </w:p>
          <w:p w14:paraId="1B524D1D">
            <w:pPr>
              <w:pStyle w:val="16"/>
              <w:numPr>
                <w:ilvl w:val="0"/>
                <w:numId w:val="1"/>
              </w:numPr>
              <w:spacing w:before="40" w:after="40"/>
            </w:pPr>
            <w:r>
              <w:rPr>
                <w:rFonts w:ascii="Arial" w:hAnsi="Arial" w:eastAsia="Arial" w:cs="Arial"/>
                <w:color w:val="1A1A1A"/>
                <w:sz w:val="20"/>
                <w:szCs w:val="20"/>
              </w:rPr>
              <w:t>Protocol Bet smart contract deployed — Mantle Sepolia + BNB Testnet</w:t>
            </w:r>
          </w:p>
          <w:p w14:paraId="7D491AF5">
            <w:pPr>
              <w:pStyle w:val="16"/>
              <w:numPr>
                <w:ilvl w:val="0"/>
                <w:numId w:val="1"/>
              </w:numPr>
              <w:spacing w:before="40" w:after="40"/>
            </w:pPr>
            <w:r>
              <w:rPr>
                <w:rFonts w:ascii="Arial" w:hAnsi="Arial" w:eastAsia="Arial" w:cs="Arial"/>
                <w:color w:val="1A1A1A"/>
                <w:sz w:val="20"/>
                <w:szCs w:val="20"/>
              </w:rPr>
              <w:t>AI Judge Agent complete — 4-step chain-of-thought + evidence review + confidence protection</w:t>
            </w:r>
          </w:p>
          <w:p w14:paraId="537BD871">
            <w:pPr>
              <w:pStyle w:val="16"/>
              <w:numPr>
                <w:ilvl w:val="0"/>
                <w:numId w:val="1"/>
              </w:numPr>
              <w:spacing w:before="40" w:after="40"/>
            </w:pPr>
            <w:r>
              <w:rPr>
                <w:rFonts w:ascii="Arial" w:hAnsi="Arial" w:eastAsia="Arial" w:cs="Arial"/>
                <w:color w:val="1A1A1A"/>
                <w:sz w:val="20"/>
                <w:szCs w:val="20"/>
              </w:rPr>
              <w:t>Layer 1 Mutual Settlement + Layer 2 AI Judge Settlement — both implemented</w:t>
            </w:r>
          </w:p>
          <w:p w14:paraId="2F6CA461">
            <w:pPr>
              <w:pStyle w:val="16"/>
              <w:numPr>
                <w:ilvl w:val="0"/>
                <w:numId w:val="1"/>
              </w:numPr>
              <w:spacing w:before="40" w:after="40"/>
            </w:pPr>
            <w:r>
              <w:rPr>
                <w:rFonts w:ascii="Arial" w:hAnsi="Arial" w:eastAsia="Arial" w:cs="Arial"/>
                <w:color w:val="1A1A1A"/>
                <w:sz w:val="20"/>
                <w:szCs w:val="20"/>
              </w:rPr>
              <w:t>Bilingual dApp live — verdictprotocol.online (Chinese/English toggle)</w:t>
            </w:r>
          </w:p>
          <w:p w14:paraId="49F4E357">
            <w:pPr>
              <w:pStyle w:val="16"/>
              <w:numPr>
                <w:ilvl w:val="0"/>
                <w:numId w:val="1"/>
              </w:numPr>
              <w:spacing w:before="40" w:after="40"/>
            </w:pPr>
            <w:r>
              <w:rPr>
                <w:rFonts w:ascii="Arial" w:hAnsi="Arial" w:eastAsia="Arial" w:cs="Arial"/>
                <w:color w:val="1A1A1A"/>
                <w:sz w:val="20"/>
                <w:szCs w:val="20"/>
              </w:rPr>
              <w:t>AI ruling detail page — full reasoning process on-chain verifiable</w:t>
            </w:r>
          </w:p>
          <w:p w14:paraId="2E016003">
            <w:pPr>
              <w:pStyle w:val="16"/>
              <w:numPr>
                <w:ilvl w:val="0"/>
                <w:numId w:val="1"/>
              </w:numPr>
              <w:spacing w:before="40" w:after="40"/>
            </w:pPr>
            <w:r>
              <w:rPr>
                <w:rFonts w:ascii="Arial" w:hAnsi="Arial" w:eastAsia="Arial" w:cs="Arial"/>
                <w:color w:val="1A1A1A"/>
                <w:sz w:val="20"/>
                <w:szCs w:val="20"/>
              </w:rPr>
              <w:t>Share cards, BeamAvatar, prize pool USD display</w:t>
            </w:r>
          </w:p>
          <w:p w14:paraId="72DADF4F">
            <w:pPr>
              <w:pStyle w:val="16"/>
              <w:numPr>
                <w:ilvl w:val="0"/>
                <w:numId w:val="1"/>
              </w:numPr>
              <w:spacing w:before="40" w:after="40"/>
            </w:pPr>
            <w:r>
              <w:rPr>
                <w:rFonts w:ascii="Arial" w:hAnsi="Arial" w:eastAsia="Arial" w:cs="Arial"/>
                <w:color w:val="1A1A1A"/>
                <w:sz w:val="20"/>
                <w:szCs w:val="20"/>
              </w:rPr>
              <w:t>npm SDK published — @lant1ng/verdict-protocol-sdk@0.1.0</w:t>
            </w:r>
          </w:p>
          <w:p w14:paraId="6F3C89C9">
            <w:pPr>
              <w:pStyle w:val="16"/>
              <w:numPr>
                <w:ilvl w:val="0"/>
                <w:numId w:val="1"/>
              </w:numPr>
              <w:spacing w:before="40" w:after="40"/>
            </w:pPr>
            <w:r>
              <w:rPr>
                <w:rFonts w:ascii="Arial" w:hAnsi="Arial" w:eastAsia="Arial" w:cs="Arial"/>
                <w:color w:val="1A1A1A"/>
                <w:sz w:val="20"/>
                <w:szCs w:val="20"/>
              </w:rPr>
              <w:t>Official website live — verdictstory.vercel.app</w:t>
            </w:r>
          </w:p>
        </w:tc>
      </w:tr>
    </w:tbl>
    <w:p w14:paraId="62FA9F78">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FA4221">
        <w:tc>
          <w:tcPr>
            <w:tcW w:w="9360" w:type="dxa"/>
            <w:tcBorders>
              <w:top w:val="single" w:color="C0392B" w:sz="0" w:space="0"/>
              <w:left w:val="single" w:color="C0392B" w:sz="0" w:space="0"/>
              <w:bottom w:val="single" w:color="C0392B" w:sz="0" w:space="0"/>
              <w:right w:val="single" w:color="C0392B" w:sz="0" w:space="0"/>
            </w:tcBorders>
            <w:shd w:val="clear" w:color="auto" w:fill="C0392B"/>
            <w:tcMar>
              <w:top w:w="120" w:type="dxa"/>
              <w:left w:w="200" w:type="dxa"/>
              <w:bottom w:w="120" w:type="dxa"/>
              <w:right w:w="200" w:type="dxa"/>
            </w:tcMar>
          </w:tcPr>
          <w:p w14:paraId="4D8CE25D">
            <w:r>
              <w:rPr>
                <w:rFonts w:ascii="Arial" w:hAnsi="Arial" w:eastAsia="Arial" w:cs="Arial"/>
                <w:b/>
                <w:bCs/>
                <w:color w:val="FFFFFF"/>
                <w:sz w:val="20"/>
                <w:szCs w:val="20"/>
              </w:rPr>
              <w:t>Phase 1.5</w:t>
            </w:r>
            <w:r>
              <w:rPr>
                <w:rFonts w:ascii="Arial" w:hAnsi="Arial" w:eastAsia="Arial" w:cs="Arial"/>
                <w:color w:val="FFFFFF"/>
                <w:sz w:val="20"/>
                <w:szCs w:val="20"/>
              </w:rPr>
              <w:t xml:space="preserve">  |  Next Release  🔨  Planned  |  Verdict Score — KOL On-Chain Credit Rating System</w:t>
            </w:r>
          </w:p>
        </w:tc>
      </w:tr>
      <w:tr w14:paraId="7A206A3B">
        <w:tc>
          <w:tcPr>
            <w:tcW w:w="9360" w:type="dxa"/>
            <w:tcBorders>
              <w:top w:val="single" w:color="DDDDDD" w:sz="0" w:space="0"/>
              <w:left w:val="single" w:color="DDDDDD" w:sz="0" w:space="0"/>
              <w:bottom w:val="single" w:color="DDDDDD" w:sz="0" w:space="0"/>
              <w:right w:val="single" w:color="DDDDDD" w:sz="0" w:space="0"/>
            </w:tcBorders>
            <w:tcMar>
              <w:top w:w="120" w:type="dxa"/>
              <w:left w:w="200" w:type="dxa"/>
              <w:bottom w:w="120" w:type="dxa"/>
              <w:right w:w="200" w:type="dxa"/>
            </w:tcMar>
          </w:tcPr>
          <w:p w14:paraId="2CFF41F9">
            <w:pPr>
              <w:pStyle w:val="16"/>
              <w:numPr>
                <w:ilvl w:val="0"/>
                <w:numId w:val="1"/>
              </w:numPr>
              <w:spacing w:before="40" w:after="40"/>
            </w:pPr>
            <w:r>
              <w:rPr>
                <w:rFonts w:ascii="Arial" w:hAnsi="Arial" w:eastAsia="Arial" w:cs="Arial"/>
                <w:color w:val="1A1A1A"/>
                <w:sz w:val="20"/>
                <w:szCs w:val="20"/>
              </w:rPr>
              <w:t>Anyone can submit a KOL's public prediction as on-chain evidence, automatically timestamped</w:t>
            </w:r>
          </w:p>
          <w:p w14:paraId="3A7242FA">
            <w:pPr>
              <w:pStyle w:val="16"/>
              <w:numPr>
                <w:ilvl w:val="0"/>
                <w:numId w:val="1"/>
              </w:numPr>
              <w:spacing w:before="40" w:after="40"/>
            </w:pPr>
            <w:r>
              <w:rPr>
                <w:rFonts w:ascii="Arial" w:hAnsi="Arial" w:eastAsia="Arial" w:cs="Arial"/>
                <w:color w:val="1A1A1A"/>
                <w:sz w:val="20"/>
                <w:szCs w:val="20"/>
              </w:rPr>
              <w:t>AI Judge auto-adjudicates at expiry; ruling result permanently on-chain</w:t>
            </w:r>
          </w:p>
          <w:p w14:paraId="4B100030">
            <w:pPr>
              <w:pStyle w:val="16"/>
              <w:numPr>
                <w:ilvl w:val="0"/>
                <w:numId w:val="1"/>
              </w:numPr>
              <w:spacing w:before="40" w:after="40"/>
            </w:pPr>
            <w:r>
              <w:rPr>
                <w:rFonts w:ascii="Arial" w:hAnsi="Arial" w:eastAsia="Arial" w:cs="Arial"/>
                <w:color w:val="1A1A1A"/>
                <w:sz w:val="20"/>
                <w:szCs w:val="20"/>
              </w:rPr>
              <w:t>Each KOL / wallet address generates a public score page: accuracy rate, confidence calibration, time-dimension analysis</w:t>
            </w:r>
          </w:p>
          <w:p w14:paraId="38F9A12C">
            <w:pPr>
              <w:pStyle w:val="16"/>
              <w:numPr>
                <w:ilvl w:val="0"/>
                <w:numId w:val="1"/>
              </w:numPr>
              <w:spacing w:before="40" w:after="40"/>
            </w:pPr>
            <w:r>
              <w:rPr>
                <w:rFonts w:ascii="Arial" w:hAnsi="Arial" w:eastAsia="Arial" w:cs="Arial"/>
                <w:color w:val="1A1A1A"/>
                <w:sz w:val="20"/>
                <w:szCs w:val="20"/>
              </w:rPr>
              <w:t>Bot new command: /score — /score @KOL or /score &lt;address&gt;</w:t>
            </w:r>
          </w:p>
          <w:p w14:paraId="71B13007">
            <w:pPr>
              <w:pStyle w:val="16"/>
              <w:numPr>
                <w:ilvl w:val="0"/>
                <w:numId w:val="1"/>
              </w:numPr>
              <w:spacing w:before="40" w:after="40"/>
            </w:pPr>
            <w:r>
              <w:rPr>
                <w:rFonts w:ascii="Arial" w:hAnsi="Arial" w:eastAsia="Arial" w:cs="Arial"/>
                <w:color w:val="1A1A1A"/>
                <w:sz w:val="20"/>
                <w:szCs w:val="20"/>
              </w:rPr>
              <w:t>REST API open — /v1/judge endpoint allows third parties to directly invoke AI Judge adjudication</w:t>
            </w:r>
          </w:p>
          <w:p w14:paraId="253B070E">
            <w:pPr>
              <w:pStyle w:val="16"/>
              <w:numPr>
                <w:ilvl w:val="0"/>
                <w:numId w:val="1"/>
              </w:numPr>
              <w:spacing w:before="40" w:after="40"/>
            </w:pPr>
            <w:r>
              <w:rPr>
                <w:rFonts w:ascii="Arial" w:hAnsi="Arial" w:eastAsia="Arial" w:cs="Arial"/>
                <w:color w:val="1A1A1A"/>
                <w:sz w:val="20"/>
                <w:szCs w:val="20"/>
              </w:rPr>
              <w:t>Reuses existing evidence submission interface and AI Judge; estimated ~30% new engineering effort</w:t>
            </w:r>
          </w:p>
        </w:tc>
      </w:tr>
    </w:tbl>
    <w:p w14:paraId="3A8870CD">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066396">
        <w:tc>
          <w:tcPr>
            <w:tcW w:w="9360" w:type="dxa"/>
            <w:tcBorders>
              <w:top w:val="single" w:color="1E8449" w:sz="0" w:space="0"/>
              <w:left w:val="single" w:color="1E8449" w:sz="0" w:space="0"/>
              <w:bottom w:val="single" w:color="1E8449" w:sz="0" w:space="0"/>
              <w:right w:val="single" w:color="1E8449" w:sz="0" w:space="0"/>
            </w:tcBorders>
            <w:shd w:val="clear" w:color="auto" w:fill="1E8449"/>
            <w:tcMar>
              <w:top w:w="120" w:type="dxa"/>
              <w:left w:w="200" w:type="dxa"/>
              <w:bottom w:w="120" w:type="dxa"/>
              <w:right w:w="200" w:type="dxa"/>
            </w:tcMar>
          </w:tcPr>
          <w:p w14:paraId="04566155">
            <w:r>
              <w:rPr>
                <w:rFonts w:ascii="Arial" w:hAnsi="Arial" w:eastAsia="Arial" w:cs="Arial"/>
                <w:b/>
                <w:bCs/>
                <w:color w:val="FFFFFF"/>
                <w:sz w:val="20"/>
                <w:szCs w:val="20"/>
              </w:rPr>
              <w:t>Phase 2</w:t>
            </w:r>
            <w:r>
              <w:rPr>
                <w:rFonts w:ascii="Arial" w:hAnsi="Arial" w:eastAsia="Arial" w:cs="Arial"/>
                <w:color w:val="FFFFFF"/>
                <w:sz w:val="20"/>
                <w:szCs w:val="20"/>
              </w:rPr>
              <w:t xml:space="preserve">  |  Mainnet Launch  📋  Planned  |  Mainnet Deployment + Feature Expansion</w:t>
            </w:r>
          </w:p>
        </w:tc>
      </w:tr>
      <w:tr w14:paraId="31DDEE7D">
        <w:tc>
          <w:tcPr>
            <w:tcW w:w="9360" w:type="dxa"/>
            <w:tcBorders>
              <w:top w:val="single" w:color="DDDDDD" w:sz="0" w:space="0"/>
              <w:left w:val="single" w:color="DDDDDD" w:sz="0" w:space="0"/>
              <w:bottom w:val="single" w:color="DDDDDD" w:sz="0" w:space="0"/>
              <w:right w:val="single" w:color="DDDDDD" w:sz="0" w:space="0"/>
            </w:tcBorders>
            <w:tcMar>
              <w:top w:w="120" w:type="dxa"/>
              <w:left w:w="200" w:type="dxa"/>
              <w:bottom w:w="120" w:type="dxa"/>
              <w:right w:w="200" w:type="dxa"/>
            </w:tcMar>
          </w:tcPr>
          <w:p w14:paraId="7BE666B9">
            <w:pPr>
              <w:pStyle w:val="16"/>
              <w:numPr>
                <w:ilvl w:val="0"/>
                <w:numId w:val="1"/>
              </w:numPr>
              <w:spacing w:before="40" w:after="40"/>
            </w:pPr>
            <w:r>
              <w:rPr>
                <w:rFonts w:ascii="Arial" w:hAnsi="Arial" w:eastAsia="Arial" w:cs="Arial"/>
                <w:color w:val="1A1A1A"/>
                <w:sz w:val="20"/>
                <w:szCs w:val="20"/>
              </w:rPr>
              <w:t>Mantle mainnet + BNB Chain mainnet official deployment</w:t>
            </w:r>
          </w:p>
          <w:p w14:paraId="065070EE">
            <w:pPr>
              <w:pStyle w:val="16"/>
              <w:numPr>
                <w:ilvl w:val="0"/>
                <w:numId w:val="1"/>
              </w:numPr>
              <w:spacing w:before="40" w:after="40"/>
            </w:pPr>
            <w:r>
              <w:rPr>
                <w:rFonts w:ascii="Arial" w:hAnsi="Arial" w:eastAsia="Arial" w:cs="Arial"/>
                <w:color w:val="1A1A1A"/>
                <w:sz w:val="20"/>
                <w:szCs w:val="20"/>
              </w:rPr>
              <w:t>Third-party smart contract security audit (completed before mainnet)</w:t>
            </w:r>
          </w:p>
          <w:p w14:paraId="3CD5A47F">
            <w:pPr>
              <w:pStyle w:val="16"/>
              <w:numPr>
                <w:ilvl w:val="0"/>
                <w:numId w:val="1"/>
              </w:numPr>
              <w:spacing w:before="40" w:after="40"/>
            </w:pPr>
            <w:r>
              <w:rPr>
                <w:rFonts w:ascii="Arial" w:hAnsi="Arial" w:eastAsia="Arial" w:cs="Arial"/>
                <w:color w:val="1A1A1A"/>
                <w:sz w:val="20"/>
                <w:szCs w:val="20"/>
              </w:rPr>
              <w:t>Layer 3 Cron-based auto-ruling — no duel left unresolved</w:t>
            </w:r>
          </w:p>
          <w:p w14:paraId="14C47A7D">
            <w:pPr>
              <w:pStyle w:val="16"/>
              <w:numPr>
                <w:ilvl w:val="0"/>
                <w:numId w:val="1"/>
              </w:numPr>
              <w:spacing w:before="40" w:after="40"/>
            </w:pPr>
            <w:r>
              <w:rPr>
                <w:rFonts w:ascii="Arial" w:hAnsi="Arial" w:eastAsia="Arial" w:cs="Arial"/>
                <w:color w:val="1A1A1A"/>
                <w:sz w:val="20"/>
                <w:szCs w:val="20"/>
              </w:rPr>
              <w:t>Audience Pool — spectators can stake on either side, enhancing social virality</w:t>
            </w:r>
          </w:p>
          <w:p w14:paraId="23519D1D">
            <w:pPr>
              <w:pStyle w:val="16"/>
              <w:numPr>
                <w:ilvl w:val="0"/>
                <w:numId w:val="1"/>
              </w:numPr>
              <w:spacing w:before="40" w:after="40"/>
            </w:pPr>
            <w:r>
              <w:rPr>
                <w:rFonts w:ascii="Arial" w:hAnsi="Arial" w:eastAsia="Arial" w:cs="Arial"/>
                <w:color w:val="1A1A1A"/>
                <w:sz w:val="20"/>
                <w:szCs w:val="20"/>
              </w:rPr>
              <w:t>Telegram account binding — duel notifications linked to TG accounts</w:t>
            </w:r>
          </w:p>
          <w:p w14:paraId="62EF3753">
            <w:pPr>
              <w:pStyle w:val="16"/>
              <w:numPr>
                <w:ilvl w:val="0"/>
                <w:numId w:val="1"/>
              </w:numPr>
              <w:spacing w:before="40" w:after="40"/>
            </w:pPr>
            <w:r>
              <w:rPr>
                <w:rFonts w:ascii="Arial" w:hAnsi="Arial" w:eastAsia="Arial" w:cs="Arial"/>
                <w:color w:val="1A1A1A"/>
                <w:sz w:val="20"/>
                <w:szCs w:val="20"/>
              </w:rPr>
              <w:t>Image / PDF evidence upload support</w:t>
            </w:r>
          </w:p>
          <w:p w14:paraId="10DEC53F">
            <w:pPr>
              <w:pStyle w:val="16"/>
              <w:numPr>
                <w:ilvl w:val="0"/>
                <w:numId w:val="1"/>
              </w:numPr>
              <w:spacing w:before="40" w:after="40"/>
            </w:pPr>
            <w:r>
              <w:rPr>
                <w:rFonts w:ascii="Arial" w:hAnsi="Arial" w:eastAsia="Arial" w:cs="Arial"/>
                <w:color w:val="1A1A1A"/>
                <w:sz w:val="20"/>
                <w:szCs w:val="20"/>
              </w:rPr>
              <w:t>ERC20 token support as wager currency</w:t>
            </w:r>
          </w:p>
          <w:p w14:paraId="4EAE045B">
            <w:pPr>
              <w:pStyle w:val="16"/>
              <w:numPr>
                <w:ilvl w:val="0"/>
                <w:numId w:val="1"/>
              </w:numPr>
              <w:spacing w:before="40" w:after="40"/>
            </w:pPr>
            <w:r>
              <w:rPr>
                <w:rFonts w:ascii="Arial" w:hAnsi="Arial" w:eastAsia="Arial" w:cs="Arial"/>
                <w:color w:val="1A1A1A"/>
                <w:sz w:val="20"/>
                <w:szCs w:val="20"/>
              </w:rPr>
              <w:t>Arena activity system — supports official themed event campaigns</w:t>
            </w:r>
          </w:p>
        </w:tc>
      </w:tr>
    </w:tbl>
    <w:p w14:paraId="7A037564">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8BE13B">
        <w:tc>
          <w:tcPr>
            <w:tcW w:w="9360" w:type="dxa"/>
            <w:tcBorders>
              <w:top w:val="single" w:color="6C3483" w:sz="0" w:space="0"/>
              <w:left w:val="single" w:color="6C3483" w:sz="0" w:space="0"/>
              <w:bottom w:val="single" w:color="6C3483" w:sz="0" w:space="0"/>
              <w:right w:val="single" w:color="6C3483" w:sz="0" w:space="0"/>
            </w:tcBorders>
            <w:shd w:val="clear" w:color="auto" w:fill="6C3483"/>
            <w:tcMar>
              <w:top w:w="120" w:type="dxa"/>
              <w:left w:w="200" w:type="dxa"/>
              <w:bottom w:w="120" w:type="dxa"/>
              <w:right w:w="200" w:type="dxa"/>
            </w:tcMar>
          </w:tcPr>
          <w:p w14:paraId="10406FFE">
            <w:r>
              <w:rPr>
                <w:rFonts w:ascii="Arial" w:hAnsi="Arial" w:eastAsia="Arial" w:cs="Arial"/>
                <w:b/>
                <w:bCs/>
                <w:color w:val="FFFFFF"/>
                <w:sz w:val="20"/>
                <w:szCs w:val="20"/>
              </w:rPr>
              <w:t>Phase 3</w:t>
            </w:r>
            <w:r>
              <w:rPr>
                <w:rFonts w:ascii="Arial" w:hAnsi="Arial" w:eastAsia="Arial" w:cs="Arial"/>
                <w:color w:val="FFFFFF"/>
                <w:sz w:val="20"/>
                <w:szCs w:val="20"/>
              </w:rPr>
              <w:t xml:space="preserve">  |  Expansion &amp; Tokenization  📋  Long-Term  |  Multi-Chain + VERDICT Token</w:t>
            </w:r>
          </w:p>
        </w:tc>
      </w:tr>
      <w:tr w14:paraId="4C19E2B8">
        <w:tc>
          <w:tcPr>
            <w:tcW w:w="9360" w:type="dxa"/>
            <w:tcBorders>
              <w:top w:val="single" w:color="DDDDDD" w:sz="0" w:space="0"/>
              <w:left w:val="single" w:color="DDDDDD" w:sz="0" w:space="0"/>
              <w:bottom w:val="single" w:color="DDDDDD" w:sz="0" w:space="0"/>
              <w:right w:val="single" w:color="DDDDDD" w:sz="0" w:space="0"/>
            </w:tcBorders>
            <w:tcMar>
              <w:top w:w="120" w:type="dxa"/>
              <w:left w:w="200" w:type="dxa"/>
              <w:bottom w:w="120" w:type="dxa"/>
              <w:right w:w="200" w:type="dxa"/>
            </w:tcMar>
          </w:tcPr>
          <w:p w14:paraId="3F287F24">
            <w:pPr>
              <w:pStyle w:val="16"/>
              <w:numPr>
                <w:ilvl w:val="0"/>
                <w:numId w:val="1"/>
              </w:numPr>
              <w:spacing w:before="40" w:after="40"/>
            </w:pPr>
            <w:r>
              <w:rPr>
                <w:rFonts w:ascii="Arial" w:hAnsi="Arial" w:eastAsia="Arial" w:cs="Arial"/>
                <w:color w:val="1A1A1A"/>
                <w:sz w:val="20"/>
                <w:szCs w:val="20"/>
              </w:rPr>
              <w:t>Multi-chain expansion — Arbitrum, Base, Optimism</w:t>
            </w:r>
          </w:p>
          <w:p w14:paraId="79CBF11E">
            <w:pPr>
              <w:pStyle w:val="16"/>
              <w:numPr>
                <w:ilvl w:val="0"/>
                <w:numId w:val="1"/>
              </w:numPr>
              <w:spacing w:before="40" w:after="40"/>
            </w:pPr>
            <w:r>
              <w:rPr>
                <w:rFonts w:ascii="Arial" w:hAnsi="Arial" w:eastAsia="Arial" w:cs="Arial"/>
                <w:color w:val="1A1A1A"/>
                <w:sz w:val="20"/>
                <w:szCs w:val="20"/>
              </w:rPr>
              <w:t>VERDICT governance token launch (ERC20)</w:t>
            </w:r>
          </w:p>
          <w:p w14:paraId="43D661E9">
            <w:pPr>
              <w:pStyle w:val="16"/>
              <w:numPr>
                <w:ilvl w:val="0"/>
                <w:numId w:val="1"/>
              </w:numPr>
              <w:spacing w:before="40" w:after="40"/>
            </w:pPr>
            <w:r>
              <w:rPr>
                <w:rFonts w:ascii="Arial" w:hAnsi="Arial" w:eastAsia="Arial" w:cs="Arial"/>
                <w:color w:val="1A1A1A"/>
                <w:sz w:val="20"/>
                <w:szCs w:val="20"/>
              </w:rPr>
              <w:t>Token holders participate in protocol governance and share fee revenue</w:t>
            </w:r>
          </w:p>
          <w:p w14:paraId="04816F29">
            <w:pPr>
              <w:pStyle w:val="16"/>
              <w:numPr>
                <w:ilvl w:val="0"/>
                <w:numId w:val="1"/>
              </w:numPr>
              <w:spacing w:before="40" w:after="40"/>
            </w:pPr>
            <w:r>
              <w:rPr>
                <w:rFonts w:ascii="Arial" w:hAnsi="Arial" w:eastAsia="Arial" w:cs="Arial"/>
                <w:color w:val="1A1A1A"/>
                <w:sz w:val="20"/>
                <w:szCs w:val="20"/>
              </w:rPr>
              <w:t>Official mobile app (iOS + Android)</w:t>
            </w:r>
          </w:p>
          <w:p w14:paraId="437F530D">
            <w:pPr>
              <w:pStyle w:val="16"/>
              <w:numPr>
                <w:ilvl w:val="0"/>
                <w:numId w:val="1"/>
              </w:numPr>
              <w:spacing w:before="40" w:after="40"/>
            </w:pPr>
            <w:r>
              <w:rPr>
                <w:rFonts w:ascii="Arial" w:hAnsi="Arial" w:eastAsia="Arial" w:cs="Arial"/>
                <w:color w:val="1A1A1A"/>
                <w:sz w:val="20"/>
                <w:szCs w:val="20"/>
              </w:rPr>
              <w:t>REST API commercialization — tiered pricing by call volume</w:t>
            </w:r>
          </w:p>
          <w:p w14:paraId="3442A933">
            <w:pPr>
              <w:pStyle w:val="16"/>
              <w:numPr>
                <w:ilvl w:val="0"/>
                <w:numId w:val="1"/>
              </w:numPr>
              <w:spacing w:before="40" w:after="40"/>
            </w:pPr>
            <w:r>
              <w:rPr>
                <w:rFonts w:ascii="Arial" w:hAnsi="Arial" w:eastAsia="Arial" w:cs="Arial"/>
                <w:color w:val="1A1A1A"/>
                <w:sz w:val="20"/>
                <w:szCs w:val="20"/>
              </w:rPr>
              <w:t>AI Judge opened as a standalone SaaS product</w:t>
            </w:r>
          </w:p>
        </w:tc>
      </w:tr>
    </w:tbl>
    <w:p w14:paraId="4E3E1708">
      <w:r>
        <w:br w:type="page"/>
      </w:r>
    </w:p>
    <w:p w14:paraId="5D1C0786">
      <w:pPr>
        <w:pStyle w:val="2"/>
        <w:pBdr>
          <w:bottom w:val="single" w:color="C0392B" w:sz="12" w:space="6"/>
        </w:pBdr>
        <w:spacing w:before="560" w:after="200"/>
      </w:pPr>
      <w:r>
        <w:rPr>
          <w:rFonts w:ascii="Arial" w:hAnsi="Arial" w:eastAsia="Arial" w:cs="Arial"/>
          <w:b/>
          <w:bCs/>
          <w:color w:val="1A1A1A"/>
          <w:sz w:val="36"/>
          <w:szCs w:val="36"/>
        </w:rPr>
        <w:t>Chapter 7  Open Ecosystem Strategy</w:t>
      </w:r>
    </w:p>
    <w:p w14:paraId="0ED6A908">
      <w:pPr>
        <w:spacing w:before="60" w:after="80" w:line="380" w:lineRule="auto"/>
        <w:jc w:val="both"/>
      </w:pPr>
      <w:r>
        <w:rPr>
          <w:rFonts w:ascii="Arial" w:hAnsi="Arial" w:eastAsia="Arial" w:cs="Arial"/>
          <w:b w:val="0"/>
          <w:bCs w:val="0"/>
          <w:i w:val="0"/>
          <w:iCs w:val="0"/>
          <w:color w:val="1A1A1A"/>
          <w:sz w:val="22"/>
          <w:szCs w:val="22"/>
        </w:rPr>
        <w:t>Verdict Protocol's long-term strategic positioning is to become the infrastructure layer for on-chain adjudication — not merely a terminal-user application. To this end, the project has planned two open integration pathways: the npm SDK and the REST API.</w:t>
      </w:r>
    </w:p>
    <w:p w14:paraId="3556B69A">
      <w:pPr>
        <w:pStyle w:val="3"/>
        <w:spacing w:before="360" w:after="160"/>
      </w:pPr>
      <w:r>
        <w:rPr>
          <w:rFonts w:ascii="Arial" w:hAnsi="Arial" w:eastAsia="Arial" w:cs="Arial"/>
          <w:b/>
          <w:bCs/>
          <w:color w:val="1A1A1A"/>
          <w:sz w:val="28"/>
          <w:szCs w:val="28"/>
        </w:rPr>
        <w:t>7.1  npm SDK  —  @lant1ng/verdict-protocol-sdk</w:t>
      </w:r>
    </w:p>
    <w:p w14:paraId="4BC1E3DD">
      <w:pPr>
        <w:spacing w:before="60" w:after="80" w:line="380" w:lineRule="auto"/>
        <w:jc w:val="both"/>
      </w:pPr>
      <w:r>
        <w:rPr>
          <w:rFonts w:ascii="Arial" w:hAnsi="Arial" w:eastAsia="Arial" w:cs="Arial"/>
          <w:b w:val="0"/>
          <w:bCs w:val="0"/>
          <w:i w:val="0"/>
          <w:iCs w:val="0"/>
          <w:color w:val="1A1A1A"/>
          <w:sz w:val="22"/>
          <w:szCs w:val="22"/>
        </w:rPr>
        <w:t>The npm SDK was officially published in May 2026 (v0.1.0), enabling any Web3 developer to embed full on-chain wagering functionality into their dApp at minimal integration cost.</w:t>
      </w:r>
    </w:p>
    <w:p w14:paraId="102A3394">
      <w:pPr>
        <w:spacing w:before="0" w:after="0"/>
      </w:pPr>
    </w:p>
    <w:p w14:paraId="4237BB8D">
      <w:pPr>
        <w:pStyle w:val="4"/>
        <w:spacing w:before="240" w:after="100"/>
      </w:pPr>
      <w:r>
        <w:rPr>
          <w:rFonts w:ascii="Arial" w:hAnsi="Arial" w:eastAsia="Arial" w:cs="Arial"/>
          <w:b/>
          <w:bCs/>
          <w:color w:val="C0392B"/>
          <w:sz w:val="24"/>
          <w:szCs w:val="24"/>
        </w:rPr>
        <w:t>7.1.1  Installation</w:t>
      </w:r>
    </w:p>
    <w:p w14:paraId="1A964524">
      <w:pPr>
        <w:spacing w:before="60" w:after="80" w:line="380" w:lineRule="auto"/>
        <w:jc w:val="both"/>
      </w:pPr>
      <w:r>
        <w:rPr>
          <w:rFonts w:ascii="Arial" w:hAnsi="Arial" w:eastAsia="Arial" w:cs="Arial"/>
          <w:b w:val="0"/>
          <w:bCs w:val="0"/>
          <w:i/>
          <w:iCs/>
          <w:color w:val="1A1A1A"/>
          <w:sz w:val="22"/>
          <w:szCs w:val="22"/>
        </w:rPr>
        <w:t>npm install @lant1ng/verdict-protocol-sdk</w:t>
      </w:r>
    </w:p>
    <w:p w14:paraId="58F0C6A4">
      <w:pPr>
        <w:spacing w:before="0" w:after="0"/>
      </w:pPr>
    </w:p>
    <w:p w14:paraId="31C7B3B4">
      <w:pPr>
        <w:pStyle w:val="4"/>
        <w:spacing w:before="240" w:after="100"/>
      </w:pPr>
      <w:r>
        <w:rPr>
          <w:rFonts w:ascii="Arial" w:hAnsi="Arial" w:eastAsia="Arial" w:cs="Arial"/>
          <w:b/>
          <w:bCs/>
          <w:color w:val="C0392B"/>
          <w:sz w:val="24"/>
          <w:szCs w:val="24"/>
        </w:rPr>
        <w:t>7.1.2  Core API Methods</w:t>
      </w:r>
    </w:p>
    <w:p w14:paraId="65B10D5F">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200"/>
        <w:gridCol w:w="4960"/>
      </w:tblGrid>
      <w:tr w14:paraId="1EB4BF4F">
        <w:tc>
          <w:tcPr>
            <w:tcW w:w="32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0F35E5AD">
            <w:pPr>
              <w:jc w:val="center"/>
            </w:pPr>
            <w:r>
              <w:rPr>
                <w:rFonts w:ascii="Arial" w:hAnsi="Arial" w:eastAsia="Arial" w:cs="Arial"/>
                <w:b/>
                <w:bCs/>
                <w:color w:val="FFFFFF"/>
                <w:sz w:val="20"/>
                <w:szCs w:val="20"/>
              </w:rPr>
              <w:t>Method</w:t>
            </w:r>
          </w:p>
        </w:tc>
        <w:tc>
          <w:tcPr>
            <w:tcW w:w="12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5D19392">
            <w:pPr>
              <w:jc w:val="center"/>
            </w:pPr>
            <w:r>
              <w:rPr>
                <w:rFonts w:ascii="Arial" w:hAnsi="Arial" w:eastAsia="Arial" w:cs="Arial"/>
                <w:b/>
                <w:bCs/>
                <w:color w:val="FFFFFF"/>
                <w:sz w:val="20"/>
                <w:szCs w:val="20"/>
              </w:rPr>
              <w:t>Type</w:t>
            </w:r>
          </w:p>
        </w:tc>
        <w:tc>
          <w:tcPr>
            <w:tcW w:w="49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3701EE6">
            <w:pPr>
              <w:jc w:val="center"/>
            </w:pPr>
            <w:r>
              <w:rPr>
                <w:rFonts w:ascii="Arial" w:hAnsi="Arial" w:eastAsia="Arial" w:cs="Arial"/>
                <w:b/>
                <w:bCs/>
                <w:color w:val="FFFFFF"/>
                <w:sz w:val="20"/>
                <w:szCs w:val="20"/>
              </w:rPr>
              <w:t>Description</w:t>
            </w:r>
          </w:p>
        </w:tc>
      </w:tr>
      <w:tr w14:paraId="2A5ABD52">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AAD68F4">
            <w:pPr>
              <w:jc w:val="left"/>
            </w:pPr>
            <w:r>
              <w:rPr>
                <w:rFonts w:ascii="Arial" w:hAnsi="Arial" w:eastAsia="Arial" w:cs="Arial"/>
                <w:color w:val="1A1A1A"/>
                <w:sz w:val="20"/>
                <w:szCs w:val="20"/>
              </w:rPr>
              <w:t>vp.createDuel(params)</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5B12ECC">
            <w:pPr>
              <w:jc w:val="left"/>
            </w:pPr>
            <w:r>
              <w:rPr>
                <w:rFonts w:ascii="Arial" w:hAnsi="Arial" w:eastAsia="Arial" w:cs="Arial"/>
                <w:color w:val="1A1A1A"/>
                <w:sz w:val="20"/>
                <w:szCs w:val="20"/>
              </w:rPr>
              <w:t>Write</w:t>
            </w:r>
          </w:p>
        </w:tc>
        <w:tc>
          <w:tcPr>
            <w:tcW w:w="4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34EE312">
            <w:pPr>
              <w:jc w:val="left"/>
            </w:pPr>
            <w:r>
              <w:rPr>
                <w:rFonts w:ascii="Arial" w:hAnsi="Arial" w:eastAsia="Arial" w:cs="Arial"/>
                <w:color w:val="1A1A1A"/>
                <w:sz w:val="20"/>
                <w:szCs w:val="20"/>
              </w:rPr>
              <w:t>Initiate a new duel; supports Mantle Sepolia and BNB Testnet</w:t>
            </w:r>
          </w:p>
        </w:tc>
      </w:tr>
      <w:tr w14:paraId="5BF46B5B">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8D011D4">
            <w:pPr>
              <w:jc w:val="left"/>
            </w:pPr>
            <w:r>
              <w:rPr>
                <w:rFonts w:ascii="Arial" w:hAnsi="Arial" w:eastAsia="Arial" w:cs="Arial"/>
                <w:color w:val="1A1A1A"/>
                <w:sz w:val="20"/>
                <w:szCs w:val="20"/>
              </w:rPr>
              <w:t>vp.acceptDuel({ duelId })</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55F2A23">
            <w:pPr>
              <w:jc w:val="left"/>
            </w:pPr>
            <w:r>
              <w:rPr>
                <w:rFonts w:ascii="Arial" w:hAnsi="Arial" w:eastAsia="Arial" w:cs="Arial"/>
                <w:color w:val="1A1A1A"/>
                <w:sz w:val="20"/>
                <w:szCs w:val="20"/>
              </w:rPr>
              <w:t>Write</w:t>
            </w:r>
          </w:p>
        </w:tc>
        <w:tc>
          <w:tcPr>
            <w:tcW w:w="4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868EFC7">
            <w:pPr>
              <w:jc w:val="left"/>
            </w:pPr>
            <w:r>
              <w:rPr>
                <w:rFonts w:ascii="Arial" w:hAnsi="Arial" w:eastAsia="Arial" w:cs="Arial"/>
                <w:color w:val="1A1A1A"/>
                <w:sz w:val="20"/>
                <w:szCs w:val="20"/>
              </w:rPr>
              <w:t>Accept a specified duel (become the Blue side)</w:t>
            </w:r>
          </w:p>
        </w:tc>
      </w:tr>
      <w:tr w14:paraId="76E5C80E">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1C9EBCE">
            <w:pPr>
              <w:jc w:val="left"/>
            </w:pPr>
            <w:r>
              <w:rPr>
                <w:rFonts w:ascii="Arial" w:hAnsi="Arial" w:eastAsia="Arial" w:cs="Arial"/>
                <w:color w:val="1A1A1A"/>
                <w:sz w:val="20"/>
                <w:szCs w:val="20"/>
              </w:rPr>
              <w:t>vp.cancelDuel({ duelId })</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AB3439A">
            <w:pPr>
              <w:jc w:val="left"/>
            </w:pPr>
            <w:r>
              <w:rPr>
                <w:rFonts w:ascii="Arial" w:hAnsi="Arial" w:eastAsia="Arial" w:cs="Arial"/>
                <w:color w:val="1A1A1A"/>
                <w:sz w:val="20"/>
                <w:szCs w:val="20"/>
              </w:rPr>
              <w:t>Write</w:t>
            </w:r>
          </w:p>
        </w:tc>
        <w:tc>
          <w:tcPr>
            <w:tcW w:w="4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9623377">
            <w:pPr>
              <w:jc w:val="left"/>
            </w:pPr>
            <w:r>
              <w:rPr>
                <w:rFonts w:ascii="Arial" w:hAnsi="Arial" w:eastAsia="Arial" w:cs="Arial"/>
                <w:color w:val="1A1A1A"/>
                <w:sz w:val="20"/>
                <w:szCs w:val="20"/>
              </w:rPr>
              <w:t>Cancel an unaccepted duel and refund</w:t>
            </w:r>
          </w:p>
        </w:tc>
      </w:tr>
      <w:tr w14:paraId="3C1DB1C2">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9606EC2">
            <w:pPr>
              <w:jc w:val="left"/>
            </w:pPr>
            <w:r>
              <w:rPr>
                <w:rFonts w:ascii="Arial" w:hAnsi="Arial" w:eastAsia="Arial" w:cs="Arial"/>
                <w:color w:val="1A1A1A"/>
                <w:sz w:val="20"/>
                <w:szCs w:val="20"/>
              </w:rPr>
              <w:t>vp.claimWinnings({ duelId })</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6A916A4">
            <w:pPr>
              <w:jc w:val="left"/>
            </w:pPr>
            <w:r>
              <w:rPr>
                <w:rFonts w:ascii="Arial" w:hAnsi="Arial" w:eastAsia="Arial" w:cs="Arial"/>
                <w:color w:val="1A1A1A"/>
                <w:sz w:val="20"/>
                <w:szCs w:val="20"/>
              </w:rPr>
              <w:t>Write</w:t>
            </w:r>
          </w:p>
        </w:tc>
        <w:tc>
          <w:tcPr>
            <w:tcW w:w="4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4E363E3">
            <w:pPr>
              <w:jc w:val="left"/>
            </w:pPr>
            <w:r>
              <w:rPr>
                <w:rFonts w:ascii="Arial" w:hAnsi="Arial" w:eastAsia="Arial" w:cs="Arial"/>
                <w:color w:val="1A1A1A"/>
                <w:sz w:val="20"/>
                <w:szCs w:val="20"/>
              </w:rPr>
              <w:t>Claim the winner's prize from a settled duel</w:t>
            </w:r>
          </w:p>
        </w:tc>
      </w:tr>
      <w:tr w14:paraId="4287A035">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E04253D">
            <w:pPr>
              <w:jc w:val="left"/>
            </w:pPr>
            <w:r>
              <w:rPr>
                <w:rFonts w:ascii="Arial" w:hAnsi="Arial" w:eastAsia="Arial" w:cs="Arial"/>
                <w:color w:val="1A1A1A"/>
                <w:sz w:val="20"/>
                <w:szCs w:val="20"/>
              </w:rPr>
              <w:t>vp.getDuel(duelId)</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2E21A38">
            <w:pPr>
              <w:jc w:val="left"/>
            </w:pPr>
            <w:r>
              <w:rPr>
                <w:rFonts w:ascii="Arial" w:hAnsi="Arial" w:eastAsia="Arial" w:cs="Arial"/>
                <w:color w:val="1A1A1A"/>
                <w:sz w:val="20"/>
                <w:szCs w:val="20"/>
              </w:rPr>
              <w:t>Read</w:t>
            </w:r>
          </w:p>
        </w:tc>
        <w:tc>
          <w:tcPr>
            <w:tcW w:w="4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195C1F9">
            <w:pPr>
              <w:jc w:val="left"/>
            </w:pPr>
            <w:r>
              <w:rPr>
                <w:rFonts w:ascii="Arial" w:hAnsi="Arial" w:eastAsia="Arial" w:cs="Arial"/>
                <w:color w:val="1A1A1A"/>
                <w:sz w:val="20"/>
                <w:szCs w:val="20"/>
              </w:rPr>
              <w:t>Query full on-chain data for a specified duel</w:t>
            </w:r>
          </w:p>
        </w:tc>
      </w:tr>
      <w:tr w14:paraId="17363AF2">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3E7FD6B">
            <w:pPr>
              <w:jc w:val="left"/>
            </w:pPr>
            <w:r>
              <w:rPr>
                <w:rFonts w:ascii="Arial" w:hAnsi="Arial" w:eastAsia="Arial" w:cs="Arial"/>
                <w:color w:val="1A1A1A"/>
                <w:sz w:val="20"/>
                <w:szCs w:val="20"/>
              </w:rPr>
              <w:t>vp.getDuelCount()</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59D36A7">
            <w:pPr>
              <w:jc w:val="left"/>
            </w:pPr>
            <w:r>
              <w:rPr>
                <w:rFonts w:ascii="Arial" w:hAnsi="Arial" w:eastAsia="Arial" w:cs="Arial"/>
                <w:color w:val="1A1A1A"/>
                <w:sz w:val="20"/>
                <w:szCs w:val="20"/>
              </w:rPr>
              <w:t>Read</w:t>
            </w:r>
          </w:p>
        </w:tc>
        <w:tc>
          <w:tcPr>
            <w:tcW w:w="4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EBB06F6">
            <w:pPr>
              <w:jc w:val="left"/>
            </w:pPr>
            <w:r>
              <w:rPr>
                <w:rFonts w:ascii="Arial" w:hAnsi="Arial" w:eastAsia="Arial" w:cs="Arial"/>
                <w:color w:val="1A1A1A"/>
                <w:sz w:val="20"/>
                <w:szCs w:val="20"/>
              </w:rPr>
              <w:t>Get the total number of duels on the current contract</w:t>
            </w:r>
          </w:p>
        </w:tc>
      </w:tr>
      <w:tr w14:paraId="38C4EC0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5D4F045">
            <w:pPr>
              <w:jc w:val="left"/>
            </w:pPr>
            <w:r>
              <w:rPr>
                <w:rFonts w:ascii="Arial" w:hAnsi="Arial" w:eastAsia="Arial" w:cs="Arial"/>
                <w:color w:val="1A1A1A"/>
                <w:sz w:val="20"/>
                <w:szCs w:val="20"/>
              </w:rPr>
              <w:t>vp.getPools(duelId)</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C75C0E2">
            <w:pPr>
              <w:jc w:val="left"/>
            </w:pPr>
            <w:r>
              <w:rPr>
                <w:rFonts w:ascii="Arial" w:hAnsi="Arial" w:eastAsia="Arial" w:cs="Arial"/>
                <w:color w:val="1A1A1A"/>
                <w:sz w:val="20"/>
                <w:szCs w:val="20"/>
              </w:rPr>
              <w:t>Read</w:t>
            </w:r>
          </w:p>
        </w:tc>
        <w:tc>
          <w:tcPr>
            <w:tcW w:w="4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7B69672">
            <w:pPr>
              <w:jc w:val="left"/>
            </w:pPr>
            <w:r>
              <w:rPr>
                <w:rFonts w:ascii="Arial" w:hAnsi="Arial" w:eastAsia="Arial" w:cs="Arial"/>
                <w:color w:val="1A1A1A"/>
                <w:sz w:val="20"/>
                <w:szCs w:val="20"/>
              </w:rPr>
              <w:t>Query the audience pool size for a specified duel</w:t>
            </w:r>
          </w:p>
        </w:tc>
      </w:tr>
      <w:tr w14:paraId="6018027E">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0C0CAE6">
            <w:pPr>
              <w:jc w:val="left"/>
            </w:pPr>
            <w:r>
              <w:rPr>
                <w:rFonts w:ascii="Arial" w:hAnsi="Arial" w:eastAsia="Arial" w:cs="Arial"/>
                <w:color w:val="1A1A1A"/>
                <w:sz w:val="20"/>
                <w:szCs w:val="20"/>
              </w:rPr>
              <w:t>vp.hasClaimed(duelId, address)</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31964F3">
            <w:pPr>
              <w:jc w:val="left"/>
            </w:pPr>
            <w:r>
              <w:rPr>
                <w:rFonts w:ascii="Arial" w:hAnsi="Arial" w:eastAsia="Arial" w:cs="Arial"/>
                <w:color w:val="1A1A1A"/>
                <w:sz w:val="20"/>
                <w:szCs w:val="20"/>
              </w:rPr>
              <w:t>Read</w:t>
            </w:r>
          </w:p>
        </w:tc>
        <w:tc>
          <w:tcPr>
            <w:tcW w:w="49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1204176">
            <w:pPr>
              <w:jc w:val="left"/>
            </w:pPr>
            <w:r>
              <w:rPr>
                <w:rFonts w:ascii="Arial" w:hAnsi="Arial" w:eastAsia="Arial" w:cs="Arial"/>
                <w:color w:val="1A1A1A"/>
                <w:sz w:val="20"/>
                <w:szCs w:val="20"/>
              </w:rPr>
              <w:t>Check whether a specified address has claimed its winnings</w:t>
            </w:r>
          </w:p>
        </w:tc>
      </w:tr>
    </w:tbl>
    <w:p w14:paraId="6959DD7D">
      <w:pPr>
        <w:spacing w:before="0" w:after="0"/>
      </w:pPr>
    </w:p>
    <w:p w14:paraId="7B0427C9">
      <w:pPr>
        <w:pStyle w:val="4"/>
        <w:spacing w:before="240" w:after="100"/>
      </w:pPr>
      <w:r>
        <w:rPr>
          <w:rFonts w:ascii="Arial" w:hAnsi="Arial" w:eastAsia="Arial" w:cs="Arial"/>
          <w:b/>
          <w:bCs/>
          <w:color w:val="C0392B"/>
          <w:sz w:val="24"/>
          <w:szCs w:val="24"/>
        </w:rPr>
        <w:t>7.1.3  Commercial Value</w:t>
      </w:r>
    </w:p>
    <w:p w14:paraId="69618037">
      <w:pPr>
        <w:spacing w:before="60" w:after="80" w:line="380" w:lineRule="auto"/>
        <w:jc w:val="both"/>
      </w:pPr>
      <w:r>
        <w:rPr>
          <w:rFonts w:ascii="Arial" w:hAnsi="Arial" w:eastAsia="Arial" w:cs="Arial"/>
          <w:b w:val="0"/>
          <w:bCs w:val="0"/>
          <w:i w:val="0"/>
          <w:iCs w:val="0"/>
          <w:color w:val="1A1A1A"/>
          <w:sz w:val="22"/>
          <w:szCs w:val="22"/>
        </w:rPr>
        <w:t>The commercial value of the SDK manifests at three levels:</w:t>
      </w:r>
    </w:p>
    <w:p w14:paraId="50BB3B4E">
      <w:pPr>
        <w:pStyle w:val="16"/>
        <w:numPr>
          <w:ilvl w:val="0"/>
          <w:numId w:val="1"/>
        </w:numPr>
        <w:spacing w:before="60" w:after="60" w:line="360" w:lineRule="auto"/>
      </w:pPr>
      <w:r>
        <w:rPr>
          <w:rFonts w:ascii="Arial" w:hAnsi="Arial" w:eastAsia="Arial" w:cs="Arial"/>
          <w:color w:val="1A1A1A"/>
          <w:sz w:val="22"/>
          <w:szCs w:val="22"/>
        </w:rPr>
        <w:t>Fee attribution — All duels initiated through the third-party SDK still have the 2% protocol fee automatically remitted to the treasury address on settlement. Third parties drive traffic; the protocol earns revenue.</w:t>
      </w:r>
    </w:p>
    <w:p w14:paraId="2CA0C9B6">
      <w:pPr>
        <w:pStyle w:val="16"/>
        <w:numPr>
          <w:ilvl w:val="0"/>
          <w:numId w:val="1"/>
        </w:numPr>
        <w:spacing w:before="60" w:after="60" w:line="360" w:lineRule="auto"/>
      </w:pPr>
      <w:r>
        <w:rPr>
          <w:rFonts w:ascii="Arial" w:hAnsi="Arial" w:eastAsia="Arial" w:cs="Arial"/>
          <w:color w:val="1A1A1A"/>
          <w:sz w:val="22"/>
          <w:szCs w:val="22"/>
        </w:rPr>
        <w:t>Data accumulation — Duels initiated by third-party dApps are written to the same contract, and the accumulated data helps improve AI Judge's ruling quality.</w:t>
      </w:r>
    </w:p>
    <w:p w14:paraId="4FC22FD1">
      <w:pPr>
        <w:pStyle w:val="16"/>
        <w:numPr>
          <w:ilvl w:val="0"/>
          <w:numId w:val="1"/>
        </w:numPr>
        <w:spacing w:before="60" w:after="60" w:line="360" w:lineRule="auto"/>
      </w:pPr>
      <w:r>
        <w:rPr>
          <w:rFonts w:ascii="Arial" w:hAnsi="Arial" w:eastAsia="Arial" w:cs="Arial"/>
          <w:color w:val="1A1A1A"/>
          <w:sz w:val="22"/>
          <w:szCs w:val="22"/>
        </w:rPr>
        <w:t>Brand propagation — dApps integrating the SDK naturally become distribution channels for Verdict Protocol, reducing user acquisition costs.</w:t>
      </w:r>
    </w:p>
    <w:p w14:paraId="06115897">
      <w:pPr>
        <w:spacing w:before="0" w:after="0"/>
      </w:pPr>
    </w:p>
    <w:p w14:paraId="6EAD4694">
      <w:pPr>
        <w:pStyle w:val="3"/>
        <w:spacing w:before="360" w:after="160"/>
      </w:pPr>
      <w:r>
        <w:rPr>
          <w:rFonts w:ascii="Arial" w:hAnsi="Arial" w:eastAsia="Arial" w:cs="Arial"/>
          <w:b/>
          <w:bCs/>
          <w:color w:val="1A1A1A"/>
          <w:sz w:val="28"/>
          <w:szCs w:val="28"/>
        </w:rPr>
        <w:t>7.2  REST API  —  AI Judge as a Service</w:t>
      </w:r>
    </w:p>
    <w:p w14:paraId="5775CCDA">
      <w:pPr>
        <w:spacing w:before="60" w:after="80" w:line="380" w:lineRule="auto"/>
        <w:jc w:val="both"/>
      </w:pPr>
      <w:r>
        <w:rPr>
          <w:rFonts w:ascii="Arial" w:hAnsi="Arial" w:eastAsia="Arial" w:cs="Arial"/>
          <w:b w:val="0"/>
          <w:bCs w:val="0"/>
          <w:i w:val="0"/>
          <w:iCs w:val="0"/>
          <w:color w:val="1A1A1A"/>
          <w:sz w:val="22"/>
          <w:szCs w:val="22"/>
        </w:rPr>
        <w:t>The REST API is a core component of the Phase 1.5 plan. Its goal is to expose AI Judge's adjudication capability as a standard HTTP interface to external parties — covering developers and enterprise users who lack smart contract development capabilities.</w:t>
      </w:r>
    </w:p>
    <w:p w14:paraId="28CC3E06">
      <w:pPr>
        <w:spacing w:before="0" w:after="0"/>
      </w:pPr>
    </w:p>
    <w:p w14:paraId="2D55BAB1">
      <w:pPr>
        <w:pStyle w:val="4"/>
        <w:spacing w:before="240" w:after="100"/>
      </w:pPr>
      <w:r>
        <w:rPr>
          <w:rFonts w:ascii="Arial" w:hAnsi="Arial" w:eastAsia="Arial" w:cs="Arial"/>
          <w:b/>
          <w:bCs/>
          <w:color w:val="C0392B"/>
          <w:sz w:val="24"/>
          <w:szCs w:val="24"/>
        </w:rPr>
        <w:t>7.2.1  Core Endpoint Design (Phase 1.5)</w:t>
      </w:r>
    </w:p>
    <w:p w14:paraId="026BB07E">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5"/>
        <w:gridCol w:w="1031"/>
        <w:gridCol w:w="5534"/>
      </w:tblGrid>
      <w:tr w14:paraId="6E0245CD">
        <w:tc>
          <w:tcPr>
            <w:tcW w:w="28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9BFC909">
            <w:pPr>
              <w:jc w:val="center"/>
            </w:pPr>
            <w:r>
              <w:rPr>
                <w:rFonts w:ascii="Arial" w:hAnsi="Arial" w:eastAsia="Arial" w:cs="Arial"/>
                <w:b/>
                <w:bCs/>
                <w:color w:val="FFFFFF"/>
                <w:sz w:val="20"/>
                <w:szCs w:val="20"/>
              </w:rPr>
              <w:t>Endpoint</w:t>
            </w:r>
          </w:p>
        </w:tc>
        <w:tc>
          <w:tcPr>
            <w:tcW w:w="1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5C3C02CF">
            <w:pPr>
              <w:jc w:val="center"/>
            </w:pPr>
            <w:r>
              <w:rPr>
                <w:rFonts w:ascii="Arial" w:hAnsi="Arial" w:eastAsia="Arial" w:cs="Arial"/>
                <w:b/>
                <w:bCs/>
                <w:color w:val="FFFFFF"/>
                <w:sz w:val="20"/>
                <w:szCs w:val="20"/>
              </w:rPr>
              <w:t>Method</w:t>
            </w:r>
          </w:p>
        </w:tc>
        <w:tc>
          <w:tcPr>
            <w:tcW w:w="55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7A71984">
            <w:pPr>
              <w:jc w:val="center"/>
            </w:pPr>
            <w:r>
              <w:rPr>
                <w:rFonts w:ascii="Arial" w:hAnsi="Arial" w:eastAsia="Arial" w:cs="Arial"/>
                <w:b/>
                <w:bCs/>
                <w:color w:val="FFFFFF"/>
                <w:sz w:val="20"/>
                <w:szCs w:val="20"/>
              </w:rPr>
              <w:t>Function</w:t>
            </w:r>
          </w:p>
        </w:tc>
      </w:tr>
      <w:tr w14:paraId="3FBAA2CE">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2A357B9">
            <w:pPr>
              <w:jc w:val="left"/>
            </w:pPr>
            <w:r>
              <w:rPr>
                <w:rFonts w:ascii="Arial" w:hAnsi="Arial" w:eastAsia="Arial" w:cs="Arial"/>
                <w:color w:val="1A1A1A"/>
                <w:sz w:val="20"/>
                <w:szCs w:val="20"/>
              </w:rPr>
              <w:t>/v1/duel/create</w:t>
            </w:r>
          </w:p>
        </w:tc>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A2F073A">
            <w:pPr>
              <w:jc w:val="left"/>
            </w:pPr>
            <w:r>
              <w:rPr>
                <w:rFonts w:ascii="Arial" w:hAnsi="Arial" w:eastAsia="Arial" w:cs="Arial"/>
                <w:color w:val="1A1A1A"/>
                <w:sz w:val="20"/>
                <w:szCs w:val="20"/>
              </w:rPr>
              <w:t>POST</w:t>
            </w:r>
          </w:p>
        </w:tc>
        <w:tc>
          <w:tcPr>
            <w:tcW w:w="5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76625309">
            <w:pPr>
              <w:jc w:val="left"/>
            </w:pPr>
            <w:r>
              <w:rPr>
                <w:rFonts w:ascii="Arial" w:hAnsi="Arial" w:eastAsia="Arial" w:cs="Arial"/>
                <w:color w:val="1A1A1A"/>
                <w:sz w:val="20"/>
                <w:szCs w:val="20"/>
              </w:rPr>
              <w:t>Create an on-chain duel; returns duelId and duel link</w:t>
            </w:r>
          </w:p>
        </w:tc>
      </w:tr>
      <w:tr w14:paraId="02CC58E0">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3408476">
            <w:pPr>
              <w:jc w:val="left"/>
            </w:pPr>
            <w:r>
              <w:rPr>
                <w:rFonts w:ascii="Arial" w:hAnsi="Arial" w:eastAsia="Arial" w:cs="Arial"/>
                <w:color w:val="1A1A1A"/>
                <w:sz w:val="20"/>
                <w:szCs w:val="20"/>
              </w:rPr>
              <w:t>/v1/duel/{id}/judge</w:t>
            </w:r>
          </w:p>
        </w:tc>
        <w:tc>
          <w:tcPr>
            <w:tcW w:w="1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D5E9113">
            <w:pPr>
              <w:jc w:val="left"/>
            </w:pPr>
            <w:r>
              <w:rPr>
                <w:rFonts w:ascii="Arial" w:hAnsi="Arial" w:eastAsia="Arial" w:cs="Arial"/>
                <w:color w:val="1A1A1A"/>
                <w:sz w:val="20"/>
                <w:szCs w:val="20"/>
              </w:rPr>
              <w:t>POST</w:t>
            </w:r>
          </w:p>
        </w:tc>
        <w:tc>
          <w:tcPr>
            <w:tcW w:w="5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F122F08">
            <w:pPr>
              <w:jc w:val="left"/>
            </w:pPr>
            <w:r>
              <w:rPr>
                <w:rFonts w:ascii="Arial" w:hAnsi="Arial" w:eastAsia="Arial" w:cs="Arial"/>
                <w:color w:val="1A1A1A"/>
                <w:sz w:val="20"/>
                <w:szCs w:val="20"/>
              </w:rPr>
              <w:t>Submit evidence, trigger AI Judge 4-step reasoning, return ruling (core endpoint)</w:t>
            </w:r>
          </w:p>
        </w:tc>
      </w:tr>
      <w:tr w14:paraId="0D66A370">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09F4974">
            <w:pPr>
              <w:jc w:val="left"/>
            </w:pPr>
            <w:r>
              <w:rPr>
                <w:rFonts w:ascii="Arial" w:hAnsi="Arial" w:eastAsia="Arial" w:cs="Arial"/>
                <w:color w:val="1A1A1A"/>
                <w:sz w:val="20"/>
                <w:szCs w:val="20"/>
              </w:rPr>
              <w:t>/v1/duel/{id}/result</w:t>
            </w:r>
          </w:p>
        </w:tc>
        <w:tc>
          <w:tcPr>
            <w:tcW w:w="1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456884F7">
            <w:pPr>
              <w:jc w:val="left"/>
            </w:pPr>
            <w:r>
              <w:rPr>
                <w:rFonts w:ascii="Arial" w:hAnsi="Arial" w:eastAsia="Arial" w:cs="Arial"/>
                <w:color w:val="1A1A1A"/>
                <w:sz w:val="20"/>
                <w:szCs w:val="20"/>
              </w:rPr>
              <w:t>GET</w:t>
            </w:r>
          </w:p>
        </w:tc>
        <w:tc>
          <w:tcPr>
            <w:tcW w:w="5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CFBE008">
            <w:pPr>
              <w:jc w:val="left"/>
            </w:pPr>
            <w:r>
              <w:rPr>
                <w:rFonts w:ascii="Arial" w:hAnsi="Arial" w:eastAsia="Arial" w:cs="Arial"/>
                <w:color w:val="1A1A1A"/>
                <w:sz w:val="20"/>
                <w:szCs w:val="20"/>
              </w:rPr>
              <w:t>Query the ruling result and confidence level for a specified duel</w:t>
            </w:r>
          </w:p>
        </w:tc>
      </w:tr>
    </w:tbl>
    <w:p w14:paraId="7F9E485A">
      <w:pPr>
        <w:spacing w:before="0" w:after="0"/>
      </w:pPr>
    </w:p>
    <w:p w14:paraId="09B7B3D6">
      <w:pPr>
        <w:pStyle w:val="4"/>
        <w:spacing w:before="240" w:after="100"/>
      </w:pPr>
      <w:r>
        <w:rPr>
          <w:rFonts w:ascii="Arial" w:hAnsi="Arial" w:eastAsia="Arial" w:cs="Arial"/>
          <w:b/>
          <w:bCs/>
          <w:color w:val="C0392B"/>
          <w:sz w:val="24"/>
          <w:szCs w:val="24"/>
        </w:rPr>
        <w:t>7.2.2  Authentication</w:t>
      </w:r>
    </w:p>
    <w:p w14:paraId="2BA5B7BB">
      <w:pPr>
        <w:spacing w:before="60" w:after="80" w:line="380" w:lineRule="auto"/>
        <w:jc w:val="both"/>
      </w:pPr>
      <w:r>
        <w:rPr>
          <w:rFonts w:ascii="Arial" w:hAnsi="Arial" w:eastAsia="Arial" w:cs="Arial"/>
          <w:b w:val="0"/>
          <w:bCs w:val="0"/>
          <w:i w:val="0"/>
          <w:iCs w:val="0"/>
          <w:color w:val="1A1A1A"/>
          <w:sz w:val="22"/>
          <w:szCs w:val="22"/>
        </w:rPr>
        <w:t>The REST API uses API Key authentication, with the key passed in the request header:</w:t>
      </w:r>
    </w:p>
    <w:p w14:paraId="6BC27A44">
      <w:pPr>
        <w:spacing w:before="60" w:after="80" w:line="380" w:lineRule="auto"/>
        <w:jc w:val="both"/>
      </w:pPr>
      <w:r>
        <w:rPr>
          <w:rFonts w:ascii="Arial" w:hAnsi="Arial" w:eastAsia="Arial" w:cs="Arial"/>
          <w:b w:val="0"/>
          <w:bCs w:val="0"/>
          <w:i/>
          <w:iCs/>
          <w:color w:val="1A1A1A"/>
          <w:sz w:val="22"/>
          <w:szCs w:val="22"/>
        </w:rPr>
        <w:t>X-Verdict-Key: your_api_key_here</w:t>
      </w:r>
    </w:p>
    <w:p w14:paraId="1806B513">
      <w:pPr>
        <w:spacing w:before="60" w:after="80" w:line="380" w:lineRule="auto"/>
        <w:jc w:val="both"/>
      </w:pPr>
      <w:r>
        <w:rPr>
          <w:rFonts w:ascii="Arial" w:hAnsi="Arial" w:eastAsia="Arial" w:cs="Arial"/>
          <w:b w:val="0"/>
          <w:bCs w:val="0"/>
          <w:i w:val="0"/>
          <w:iCs w:val="0"/>
          <w:color w:val="1A1A1A"/>
          <w:sz w:val="22"/>
          <w:szCs w:val="22"/>
        </w:rPr>
        <w:t>API Keys are bound to call quotas; usage beyond the free tier is billed per call. Key and usage data are stored in Upstash Redis for low-latency authentication and usage tracking.</w:t>
      </w:r>
    </w:p>
    <w:p w14:paraId="00D7BD78">
      <w:pPr>
        <w:spacing w:before="0" w:after="0"/>
      </w:pPr>
    </w:p>
    <w:p w14:paraId="49F23C16">
      <w:pPr>
        <w:pStyle w:val="4"/>
        <w:spacing w:before="240" w:after="100"/>
      </w:pPr>
      <w:r>
        <w:rPr>
          <w:rFonts w:ascii="Arial" w:hAnsi="Arial" w:eastAsia="Arial" w:cs="Arial"/>
          <w:b/>
          <w:bCs/>
          <w:color w:val="C0392B"/>
          <w:sz w:val="24"/>
          <w:szCs w:val="24"/>
        </w:rPr>
        <w:t>7.2.3  Potential Use Cases</w:t>
      </w:r>
    </w:p>
    <w:p w14:paraId="0D068D4D">
      <w:pPr>
        <w:pStyle w:val="16"/>
        <w:numPr>
          <w:ilvl w:val="0"/>
          <w:numId w:val="1"/>
        </w:numPr>
        <w:spacing w:before="60" w:after="60" w:line="360" w:lineRule="auto"/>
      </w:pPr>
      <w:r>
        <w:rPr>
          <w:rFonts w:ascii="Arial" w:hAnsi="Arial" w:eastAsia="Arial" w:cs="Arial"/>
          <w:color w:val="1A1A1A"/>
          <w:sz w:val="22"/>
          <w:szCs w:val="22"/>
        </w:rPr>
        <w:t>Other prediction market / wager platforms — reuse AI Judge adjudication capability without building their own</w:t>
      </w:r>
    </w:p>
    <w:p w14:paraId="5656C9D5">
      <w:pPr>
        <w:pStyle w:val="16"/>
        <w:numPr>
          <w:ilvl w:val="0"/>
          <w:numId w:val="1"/>
        </w:numPr>
        <w:spacing w:before="60" w:after="60" w:line="360" w:lineRule="auto"/>
      </w:pPr>
      <w:r>
        <w:rPr>
          <w:rFonts w:ascii="Arial" w:hAnsi="Arial" w:eastAsia="Arial" w:cs="Arial"/>
          <w:color w:val="1A1A1A"/>
          <w:sz w:val="22"/>
          <w:szCs w:val="22"/>
        </w:rPr>
        <w:t>On-chain game PVP systems — automatic adjudication of in-game dispute outcomes</w:t>
      </w:r>
    </w:p>
    <w:p w14:paraId="1B841FAD">
      <w:pPr>
        <w:pStyle w:val="16"/>
        <w:numPr>
          <w:ilvl w:val="0"/>
          <w:numId w:val="1"/>
        </w:numPr>
        <w:spacing w:before="60" w:after="60" w:line="360" w:lineRule="auto"/>
      </w:pPr>
      <w:r>
        <w:rPr>
          <w:rFonts w:ascii="Arial" w:hAnsi="Arial" w:eastAsia="Arial" w:cs="Arial"/>
          <w:color w:val="1A1A1A"/>
          <w:sz w:val="22"/>
          <w:szCs w:val="22"/>
        </w:rPr>
        <w:t>DAO governance tools — outcome verification after proposal execution</w:t>
      </w:r>
    </w:p>
    <w:p w14:paraId="263A8B69">
      <w:pPr>
        <w:pStyle w:val="16"/>
        <w:numPr>
          <w:ilvl w:val="0"/>
          <w:numId w:val="1"/>
        </w:numPr>
        <w:spacing w:before="60" w:after="60" w:line="360" w:lineRule="auto"/>
      </w:pPr>
      <w:r>
        <w:rPr>
          <w:rFonts w:ascii="Arial" w:hAnsi="Arial" w:eastAsia="Arial" w:cs="Arial"/>
          <w:color w:val="1A1A1A"/>
          <w:sz w:val="22"/>
          <w:szCs w:val="22"/>
        </w:rPr>
        <w:t>KOL credit rating platforms — automated assessment of prediction accuracy</w:t>
      </w:r>
    </w:p>
    <w:p w14:paraId="0A797394">
      <w:pPr>
        <w:pStyle w:val="16"/>
        <w:numPr>
          <w:ilvl w:val="0"/>
          <w:numId w:val="1"/>
        </w:numPr>
        <w:spacing w:before="60" w:after="60" w:line="360" w:lineRule="auto"/>
      </w:pPr>
      <w:r>
        <w:rPr>
          <w:rFonts w:ascii="Arial" w:hAnsi="Arial" w:eastAsia="Arial" w:cs="Arial"/>
          <w:color w:val="1A1A1A"/>
          <w:sz w:val="22"/>
          <w:szCs w:val="22"/>
        </w:rPr>
        <w:t>Freelance platforms — preliminary AI arbitration for delivery disputes (off-chain scenarios)</w:t>
      </w:r>
    </w:p>
    <w:p w14:paraId="43C61C5C">
      <w:r>
        <w:br w:type="page"/>
      </w:r>
    </w:p>
    <w:p w14:paraId="233A045F">
      <w:pPr>
        <w:pStyle w:val="2"/>
        <w:pBdr>
          <w:bottom w:val="single" w:color="C0392B" w:sz="12" w:space="6"/>
        </w:pBdr>
        <w:spacing w:before="560" w:after="200"/>
      </w:pPr>
      <w:r>
        <w:rPr>
          <w:rFonts w:ascii="Arial" w:hAnsi="Arial" w:eastAsia="Arial" w:cs="Arial"/>
          <w:b/>
          <w:bCs/>
          <w:color w:val="1A1A1A"/>
          <w:sz w:val="36"/>
          <w:szCs w:val="36"/>
        </w:rPr>
        <w:t>Chapter 8  Business Model</w:t>
      </w:r>
    </w:p>
    <w:p w14:paraId="7842FF3D">
      <w:pPr>
        <w:pStyle w:val="3"/>
        <w:spacing w:before="360" w:after="160"/>
      </w:pPr>
      <w:r>
        <w:rPr>
          <w:rFonts w:ascii="Arial" w:hAnsi="Arial" w:eastAsia="Arial" w:cs="Arial"/>
          <w:b/>
          <w:bCs/>
          <w:color w:val="1A1A1A"/>
          <w:sz w:val="28"/>
          <w:szCs w:val="28"/>
        </w:rPr>
        <w:t>8.1  Current Revenue Mechanism</w:t>
      </w:r>
    </w:p>
    <w:p w14:paraId="4764C2DF">
      <w:pPr>
        <w:spacing w:before="60" w:after="80" w:line="380" w:lineRule="auto"/>
        <w:jc w:val="both"/>
      </w:pPr>
      <w:r>
        <w:rPr>
          <w:rFonts w:ascii="Arial" w:hAnsi="Arial" w:eastAsia="Arial" w:cs="Arial"/>
          <w:b w:val="0"/>
          <w:bCs w:val="0"/>
          <w:i w:val="0"/>
          <w:iCs w:val="0"/>
          <w:color w:val="1A1A1A"/>
          <w:sz w:val="22"/>
          <w:szCs w:val="22"/>
        </w:rPr>
        <w:t>Verdict Protocol's base revenue comes from the protocol fee — a fully automated, zero-intervention passive income model:</w:t>
      </w:r>
    </w:p>
    <w:p w14:paraId="3072A642">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4791D5D">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B0CC102">
            <w:r>
              <w:rPr>
                <w:rFonts w:ascii="Arial" w:hAnsi="Arial" w:eastAsia="Arial" w:cs="Arial"/>
                <w:b/>
                <w:bCs/>
                <w:color w:val="5A5A5A"/>
                <w:sz w:val="20"/>
                <w:szCs w:val="20"/>
              </w:rPr>
              <w:t>Fee Structure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41CF7974">
            <w:r>
              <w:rPr>
                <w:rFonts w:ascii="Arial" w:hAnsi="Arial" w:eastAsia="Arial" w:cs="Arial"/>
                <w:color w:val="1A1A1A"/>
                <w:sz w:val="20"/>
                <w:szCs w:val="20"/>
              </w:rPr>
              <w:t>2% protocol fee automatically deducted on each on-chain duel settlement</w:t>
            </w:r>
          </w:p>
        </w:tc>
      </w:tr>
      <w:tr w14:paraId="200168AE">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CC193C1">
            <w:r>
              <w:rPr>
                <w:rFonts w:ascii="Arial" w:hAnsi="Arial" w:eastAsia="Arial" w:cs="Arial"/>
                <w:b/>
                <w:bCs/>
                <w:color w:val="5A5A5A"/>
                <w:sz w:val="20"/>
                <w:szCs w:val="20"/>
              </w:rPr>
              <w:t>Trigger Condition</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80CE2DB">
            <w:r>
              <w:rPr>
                <w:rFonts w:ascii="Arial" w:hAnsi="Arial" w:eastAsia="Arial" w:cs="Arial"/>
                <w:color w:val="1A1A1A"/>
                <w:sz w:val="20"/>
                <w:szCs w:val="20"/>
              </w:rPr>
              <w:t>Any successfully settled duel (both mutual settlement and AI Judge rulings apply)</w:t>
            </w:r>
          </w:p>
        </w:tc>
      </w:tr>
      <w:tr w14:paraId="039E626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E7D82D4">
            <w:r>
              <w:rPr>
                <w:rFonts w:ascii="Arial" w:hAnsi="Arial" w:eastAsia="Arial" w:cs="Arial"/>
                <w:b/>
                <w:bCs/>
                <w:color w:val="5A5A5A"/>
                <w:sz w:val="20"/>
                <w:szCs w:val="20"/>
              </w:rPr>
              <w:t>Fund Flow</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2A476333">
            <w:r>
              <w:rPr>
                <w:rFonts w:ascii="Arial" w:hAnsi="Arial" w:eastAsia="Arial" w:cs="Arial"/>
                <w:color w:val="1A1A1A"/>
                <w:sz w:val="20"/>
                <w:szCs w:val="20"/>
              </w:rPr>
              <w:t>Transferred directly to the treasury address (deployer wallet) in real time; no manual operation required</w:t>
            </w:r>
          </w:p>
        </w:tc>
      </w:tr>
      <w:tr w14:paraId="3E22D6C3">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71B9BD2">
            <w:r>
              <w:rPr>
                <w:rFonts w:ascii="Arial" w:hAnsi="Arial" w:eastAsia="Arial" w:cs="Arial"/>
                <w:b/>
                <w:bCs/>
                <w:color w:val="5A5A5A"/>
                <w:sz w:val="20"/>
                <w:szCs w:val="20"/>
              </w:rPr>
              <w:t>Third-Party Calls</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059618B4">
            <w:r>
              <w:rPr>
                <w:rFonts w:ascii="Arial" w:hAnsi="Arial" w:eastAsia="Arial" w:cs="Arial"/>
                <w:color w:val="1A1A1A"/>
                <w:sz w:val="20"/>
                <w:szCs w:val="20"/>
              </w:rPr>
              <w:t>Duels initiated via npm SDK or direct contract calls are subject to the same fee logic</w:t>
            </w:r>
          </w:p>
        </w:tc>
      </w:tr>
      <w:tr w14:paraId="28F248B8">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56F77E6">
            <w:r>
              <w:rPr>
                <w:rFonts w:ascii="Arial" w:hAnsi="Arial" w:eastAsia="Arial" w:cs="Arial"/>
                <w:b/>
                <w:bCs/>
                <w:color w:val="5A5A5A"/>
                <w:sz w:val="20"/>
                <w:szCs w:val="20"/>
              </w:rPr>
              <w:t>Chain Coverage</w:t>
            </w:r>
          </w:p>
        </w:tc>
        <w:tc>
          <w:tcPr>
            <w:tcW w:w="6360" w:type="dxa"/>
            <w:tcBorders>
              <w:top w:val="single" w:color="DDDDDD" w:sz="0" w:space="0"/>
              <w:left w:val="single" w:color="DDDDDD" w:sz="0" w:space="0"/>
              <w:bottom w:val="single" w:color="DDDDDD" w:sz="0" w:space="0"/>
              <w:right w:val="single" w:color="DDDDDD" w:sz="0" w:space="0"/>
            </w:tcBorders>
            <w:tcMar>
              <w:top w:w="80" w:type="dxa"/>
              <w:left w:w="160" w:type="dxa"/>
              <w:bottom w:w="80" w:type="dxa"/>
              <w:right w:w="160" w:type="dxa"/>
            </w:tcMar>
          </w:tcPr>
          <w:p w14:paraId="5000CF33">
            <w:r>
              <w:rPr>
                <w:rFonts w:ascii="Arial" w:hAnsi="Arial" w:eastAsia="Arial" w:cs="Arial"/>
                <w:color w:val="1A1A1A"/>
                <w:sz w:val="20"/>
                <w:szCs w:val="20"/>
              </w:rPr>
              <w:t>Currently Mantle Sepolia + BNB Testnet; revenue scale is expected to grow substantially after mainnet launch</w:t>
            </w:r>
          </w:p>
        </w:tc>
      </w:tr>
    </w:tbl>
    <w:p w14:paraId="0917AA97">
      <w:pPr>
        <w:spacing w:before="0" w:after="0"/>
      </w:pPr>
    </w:p>
    <w:p w14:paraId="6C86B417">
      <w:pPr>
        <w:pStyle w:val="4"/>
        <w:spacing w:before="240" w:after="100"/>
      </w:pPr>
      <w:r>
        <w:rPr>
          <w:rFonts w:ascii="Arial" w:hAnsi="Arial" w:eastAsia="Arial" w:cs="Arial"/>
          <w:b/>
          <w:bCs/>
          <w:color w:val="C0392B"/>
          <w:sz w:val="24"/>
          <w:szCs w:val="24"/>
        </w:rPr>
        <w:t>8.1.1  Revenue Scale Estimates (Conservative Projections)</w:t>
      </w:r>
    </w:p>
    <w:p w14:paraId="2BC0E26E">
      <w:pPr>
        <w:spacing w:before="60" w:after="80" w:line="380" w:lineRule="auto"/>
        <w:jc w:val="both"/>
      </w:pPr>
      <w:r>
        <w:rPr>
          <w:rFonts w:ascii="Arial" w:hAnsi="Arial" w:eastAsia="Arial" w:cs="Arial"/>
          <w:b w:val="0"/>
          <w:bCs w:val="0"/>
          <w:i w:val="0"/>
          <w:iCs w:val="0"/>
          <w:color w:val="1A1A1A"/>
          <w:sz w:val="22"/>
          <w:szCs w:val="22"/>
        </w:rPr>
        <w:t>The following estimates are based on conservative assumptions and are provided for reference only:</w:t>
      </w:r>
    </w:p>
    <w:p w14:paraId="100BB837">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1800"/>
        <w:gridCol w:w="1600"/>
        <w:gridCol w:w="1160"/>
      </w:tblGrid>
      <w:tr w14:paraId="67ACF0DC">
        <w:tc>
          <w:tcPr>
            <w:tcW w:w="32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0ED8ABA3">
            <w:pPr>
              <w:jc w:val="center"/>
            </w:pPr>
            <w:r>
              <w:rPr>
                <w:rFonts w:ascii="Arial" w:hAnsi="Arial" w:eastAsia="Arial" w:cs="Arial"/>
                <w:b/>
                <w:bCs/>
                <w:color w:val="FFFFFF"/>
                <w:sz w:val="20"/>
                <w:szCs w:val="20"/>
              </w:rPr>
              <w:t>Scenario</w:t>
            </w:r>
          </w:p>
        </w:tc>
        <w:tc>
          <w:tcPr>
            <w:tcW w:w="16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2A8CD549">
            <w:pPr>
              <w:jc w:val="center"/>
            </w:pPr>
            <w:r>
              <w:rPr>
                <w:rFonts w:ascii="Arial" w:hAnsi="Arial" w:eastAsia="Arial" w:cs="Arial"/>
                <w:b/>
                <w:bCs/>
                <w:color w:val="FFFFFF"/>
                <w:sz w:val="20"/>
                <w:szCs w:val="20"/>
              </w:rPr>
              <w:t>Avg. Daily Duels</w:t>
            </w:r>
          </w:p>
        </w:tc>
        <w:tc>
          <w:tcPr>
            <w:tcW w:w="18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4A5D9BFF">
            <w:pPr>
              <w:jc w:val="center"/>
            </w:pPr>
            <w:r>
              <w:rPr>
                <w:rFonts w:ascii="Arial" w:hAnsi="Arial" w:eastAsia="Arial" w:cs="Arial"/>
                <w:b/>
                <w:bCs/>
                <w:color w:val="FFFFFF"/>
                <w:sz w:val="20"/>
                <w:szCs w:val="20"/>
              </w:rPr>
              <w:t>Avg. Stake (MNT)</w:t>
            </w:r>
          </w:p>
        </w:tc>
        <w:tc>
          <w:tcPr>
            <w:tcW w:w="16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48D832B">
            <w:pPr>
              <w:jc w:val="center"/>
            </w:pPr>
            <w:r>
              <w:rPr>
                <w:rFonts w:ascii="Arial" w:hAnsi="Arial" w:eastAsia="Arial" w:cs="Arial"/>
                <w:b/>
                <w:bCs/>
                <w:color w:val="FFFFFF"/>
                <w:sz w:val="20"/>
                <w:szCs w:val="20"/>
              </w:rPr>
              <w:t>Daily Fee (MNT)</w:t>
            </w:r>
          </w:p>
        </w:tc>
        <w:tc>
          <w:tcPr>
            <w:tcW w:w="11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69207169">
            <w:pPr>
              <w:jc w:val="center"/>
            </w:pPr>
            <w:r>
              <w:rPr>
                <w:rFonts w:ascii="Arial" w:hAnsi="Arial" w:eastAsia="Arial" w:cs="Arial"/>
                <w:b/>
                <w:bCs/>
                <w:color w:val="FFFFFF"/>
                <w:sz w:val="20"/>
                <w:szCs w:val="20"/>
              </w:rPr>
              <w:t>Monthly Fee (MNT)</w:t>
            </w:r>
          </w:p>
        </w:tc>
      </w:tr>
      <w:tr w14:paraId="3A7A8F9F">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D8967FD">
            <w:pPr>
              <w:jc w:val="left"/>
            </w:pPr>
            <w:r>
              <w:rPr>
                <w:rFonts w:ascii="Arial" w:hAnsi="Arial" w:eastAsia="Arial" w:cs="Arial"/>
                <w:color w:val="1A1A1A"/>
                <w:sz w:val="20"/>
                <w:szCs w:val="20"/>
              </w:rPr>
              <w:t>Early stage (1 month post-mainnet)</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51319C6">
            <w:pPr>
              <w:jc w:val="left"/>
            </w:pPr>
            <w:r>
              <w:rPr>
                <w:rFonts w:ascii="Arial" w:hAnsi="Arial" w:eastAsia="Arial" w:cs="Arial"/>
                <w:color w:val="1A1A1A"/>
                <w:sz w:val="20"/>
                <w:szCs w:val="20"/>
              </w:rPr>
              <w:t>20</w:t>
            </w:r>
          </w:p>
        </w:t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5FF1043">
            <w:pPr>
              <w:jc w:val="left"/>
            </w:pPr>
            <w:r>
              <w:rPr>
                <w:rFonts w:ascii="Arial" w:hAnsi="Arial" w:eastAsia="Arial" w:cs="Arial"/>
                <w:color w:val="1A1A1A"/>
                <w:sz w:val="20"/>
                <w:szCs w:val="20"/>
              </w:rPr>
              <w:t>10</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69A8468">
            <w:pPr>
              <w:jc w:val="left"/>
            </w:pPr>
            <w:r>
              <w:rPr>
                <w:rFonts w:ascii="Arial" w:hAnsi="Arial" w:eastAsia="Arial" w:cs="Arial"/>
                <w:color w:val="1A1A1A"/>
                <w:sz w:val="20"/>
                <w:szCs w:val="20"/>
              </w:rPr>
              <w:t>8</w:t>
            </w:r>
          </w:p>
        </w:tc>
        <w:tc>
          <w:tcPr>
            <w:tcW w:w="1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0657F02">
            <w:pPr>
              <w:jc w:val="left"/>
            </w:pPr>
            <w:r>
              <w:rPr>
                <w:rFonts w:ascii="Arial" w:hAnsi="Arial" w:eastAsia="Arial" w:cs="Arial"/>
                <w:color w:val="1A1A1A"/>
                <w:sz w:val="20"/>
                <w:szCs w:val="20"/>
              </w:rPr>
              <w:t>240</w:t>
            </w:r>
          </w:p>
        </w:tc>
      </w:tr>
      <w:tr w14:paraId="355C29FA">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1613CAE">
            <w:pPr>
              <w:jc w:val="left"/>
            </w:pPr>
            <w:r>
              <w:rPr>
                <w:rFonts w:ascii="Arial" w:hAnsi="Arial" w:eastAsia="Arial" w:cs="Arial"/>
                <w:color w:val="1A1A1A"/>
                <w:sz w:val="20"/>
                <w:szCs w:val="20"/>
              </w:rPr>
              <w:t>Growth stage (6 months post-mainnet)</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E1F631C">
            <w:pPr>
              <w:jc w:val="left"/>
            </w:pPr>
            <w:r>
              <w:rPr>
                <w:rFonts w:ascii="Arial" w:hAnsi="Arial" w:eastAsia="Arial" w:cs="Arial"/>
                <w:color w:val="1A1A1A"/>
                <w:sz w:val="20"/>
                <w:szCs w:val="20"/>
              </w:rPr>
              <w:t>200</w:t>
            </w:r>
          </w:p>
        </w:tc>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93EA90A">
            <w:pPr>
              <w:jc w:val="left"/>
            </w:pPr>
            <w:r>
              <w:rPr>
                <w:rFonts w:ascii="Arial" w:hAnsi="Arial" w:eastAsia="Arial" w:cs="Arial"/>
                <w:color w:val="1A1A1A"/>
                <w:sz w:val="20"/>
                <w:szCs w:val="20"/>
              </w:rPr>
              <w:t>20</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F323C7E">
            <w:pPr>
              <w:jc w:val="left"/>
            </w:pPr>
            <w:r>
              <w:rPr>
                <w:rFonts w:ascii="Arial" w:hAnsi="Arial" w:eastAsia="Arial" w:cs="Arial"/>
                <w:color w:val="1A1A1A"/>
                <w:sz w:val="20"/>
                <w:szCs w:val="20"/>
              </w:rPr>
              <w:t>160</w:t>
            </w:r>
          </w:p>
        </w:tc>
        <w:tc>
          <w:tcPr>
            <w:tcW w:w="11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5A141FB">
            <w:pPr>
              <w:jc w:val="left"/>
            </w:pPr>
            <w:r>
              <w:rPr>
                <w:rFonts w:ascii="Arial" w:hAnsi="Arial" w:eastAsia="Arial" w:cs="Arial"/>
                <w:color w:val="1A1A1A"/>
                <w:sz w:val="20"/>
                <w:szCs w:val="20"/>
              </w:rPr>
              <w:t>4,800</w:t>
            </w:r>
          </w:p>
        </w:tc>
      </w:tr>
      <w:tr w14:paraId="3F914B31">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CAC0E14">
            <w:pPr>
              <w:jc w:val="left"/>
            </w:pPr>
            <w:r>
              <w:rPr>
                <w:rFonts w:ascii="Arial" w:hAnsi="Arial" w:eastAsia="Arial" w:cs="Arial"/>
                <w:color w:val="1A1A1A"/>
                <w:sz w:val="20"/>
                <w:szCs w:val="20"/>
              </w:rPr>
              <w:t>Steady state (12 months post-mainnet)</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52025E7">
            <w:pPr>
              <w:jc w:val="left"/>
            </w:pPr>
            <w:r>
              <w:rPr>
                <w:rFonts w:ascii="Arial" w:hAnsi="Arial" w:eastAsia="Arial" w:cs="Arial"/>
                <w:color w:val="1A1A1A"/>
                <w:sz w:val="20"/>
                <w:szCs w:val="20"/>
              </w:rPr>
              <w:t>1,000</w:t>
            </w:r>
          </w:p>
        </w:t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5D26064">
            <w:pPr>
              <w:jc w:val="left"/>
            </w:pPr>
            <w:r>
              <w:rPr>
                <w:rFonts w:ascii="Arial" w:hAnsi="Arial" w:eastAsia="Arial" w:cs="Arial"/>
                <w:color w:val="1A1A1A"/>
                <w:sz w:val="20"/>
                <w:szCs w:val="20"/>
              </w:rPr>
              <w:t>50</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6758934">
            <w:pPr>
              <w:jc w:val="left"/>
            </w:pPr>
            <w:r>
              <w:rPr>
                <w:rFonts w:ascii="Arial" w:hAnsi="Arial" w:eastAsia="Arial" w:cs="Arial"/>
                <w:color w:val="1A1A1A"/>
                <w:sz w:val="20"/>
                <w:szCs w:val="20"/>
              </w:rPr>
              <w:t>2,000</w:t>
            </w:r>
          </w:p>
        </w:tc>
        <w:tc>
          <w:tcPr>
            <w:tcW w:w="1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49CA11D">
            <w:pPr>
              <w:jc w:val="left"/>
            </w:pPr>
            <w:r>
              <w:rPr>
                <w:rFonts w:ascii="Arial" w:hAnsi="Arial" w:eastAsia="Arial" w:cs="Arial"/>
                <w:color w:val="1A1A1A"/>
                <w:sz w:val="20"/>
                <w:szCs w:val="20"/>
              </w:rPr>
              <w:t>60,000</w:t>
            </w:r>
          </w:p>
        </w:tc>
      </w:tr>
    </w:tbl>
    <w:p w14:paraId="1B391705">
      <w:pPr>
        <w:spacing w:before="60" w:after="80" w:line="380" w:lineRule="auto"/>
        <w:jc w:val="both"/>
      </w:pPr>
      <w:r>
        <w:rPr>
          <w:rFonts w:ascii="Arial" w:hAnsi="Arial" w:eastAsia="Arial" w:cs="Arial"/>
          <w:b w:val="0"/>
          <w:bCs w:val="0"/>
          <w:i w:val="0"/>
          <w:iCs w:val="0"/>
          <w:color w:val="5A5A5A"/>
          <w:sz w:val="22"/>
          <w:szCs w:val="22"/>
        </w:rPr>
        <w:t>Note: estimates based on total duel funds = stake × 2; fee = total funds × 2%.</w:t>
      </w:r>
    </w:p>
    <w:p w14:paraId="03E8F26B">
      <w:pPr>
        <w:spacing w:before="0" w:after="0"/>
      </w:pPr>
    </w:p>
    <w:p w14:paraId="008AF36F">
      <w:pPr>
        <w:pStyle w:val="3"/>
        <w:spacing w:before="360" w:after="160"/>
      </w:pPr>
      <w:r>
        <w:rPr>
          <w:rFonts w:ascii="Arial" w:hAnsi="Arial" w:eastAsia="Arial" w:cs="Arial"/>
          <w:b/>
          <w:bCs/>
          <w:color w:val="1A1A1A"/>
          <w:sz w:val="28"/>
          <w:szCs w:val="28"/>
        </w:rPr>
        <w:t>8.2  Phase 2+ Revenue Expansion</w:t>
      </w:r>
    </w:p>
    <w:p w14:paraId="1C5C4B8D">
      <w:pPr>
        <w:spacing w:before="60" w:after="80" w:line="380" w:lineRule="auto"/>
        <w:jc w:val="both"/>
      </w:pPr>
      <w:r>
        <w:rPr>
          <w:rFonts w:ascii="Arial" w:hAnsi="Arial" w:eastAsia="Arial" w:cs="Arial"/>
          <w:b w:val="0"/>
          <w:bCs w:val="0"/>
          <w:i w:val="0"/>
          <w:iCs w:val="0"/>
          <w:color w:val="1A1A1A"/>
          <w:sz w:val="22"/>
          <w:szCs w:val="22"/>
        </w:rPr>
        <w:t>As the product matrix matures, Verdict Protocol will progressively build a diversified revenue structure:</w:t>
      </w:r>
    </w:p>
    <w:p w14:paraId="714F5F9E">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60"/>
      </w:tblGrid>
      <w:tr w14:paraId="21C75DBE">
        <w:tc>
          <w:tcPr>
            <w:tcW w:w="2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2F9C3C46">
            <w:pPr>
              <w:jc w:val="center"/>
            </w:pPr>
            <w:r>
              <w:rPr>
                <w:rFonts w:ascii="Arial" w:hAnsi="Arial" w:eastAsia="Arial" w:cs="Arial"/>
                <w:b/>
                <w:bCs/>
                <w:color w:val="FFFFFF"/>
                <w:sz w:val="20"/>
                <w:szCs w:val="20"/>
              </w:rPr>
              <w:t>Revenue Source</w:t>
            </w:r>
          </w:p>
        </w:tc>
        <w:tc>
          <w:tcPr>
            <w:tcW w:w="3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05B56A40">
            <w:pPr>
              <w:jc w:val="center"/>
            </w:pPr>
            <w:r>
              <w:rPr>
                <w:rFonts w:ascii="Arial" w:hAnsi="Arial" w:eastAsia="Arial" w:cs="Arial"/>
                <w:b/>
                <w:bCs/>
                <w:color w:val="FFFFFF"/>
                <w:sz w:val="20"/>
                <w:szCs w:val="20"/>
              </w:rPr>
              <w:t>Business Model</w:t>
            </w:r>
          </w:p>
        </w:tc>
        <w:tc>
          <w:tcPr>
            <w:tcW w:w="35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AAEC45A">
            <w:pPr>
              <w:jc w:val="center"/>
            </w:pPr>
            <w:r>
              <w:rPr>
                <w:rFonts w:ascii="Arial" w:hAnsi="Arial" w:eastAsia="Arial" w:cs="Arial"/>
                <w:b/>
                <w:bCs/>
                <w:color w:val="FFFFFF"/>
                <w:sz w:val="20"/>
                <w:szCs w:val="20"/>
              </w:rPr>
              <w:t>Expected Launch</w:t>
            </w:r>
          </w:p>
        </w:tc>
      </w:tr>
      <w:tr w14:paraId="3C9235CB">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40EE9AB">
            <w:pPr>
              <w:jc w:val="left"/>
            </w:pPr>
            <w:r>
              <w:rPr>
                <w:rFonts w:ascii="Arial" w:hAnsi="Arial" w:eastAsia="Arial" w:cs="Arial"/>
                <w:color w:val="1A1A1A"/>
                <w:sz w:val="20"/>
                <w:szCs w:val="20"/>
              </w:rPr>
              <w:t>Protocol fee (base)</w:t>
            </w:r>
          </w:p>
        </w:tc>
        <w:tc>
          <w:tcPr>
            <w:tcW w:w="3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8B3F99F">
            <w:pPr>
              <w:jc w:val="left"/>
            </w:pPr>
            <w:r>
              <w:rPr>
                <w:rFonts w:ascii="Arial" w:hAnsi="Arial" w:eastAsia="Arial" w:cs="Arial"/>
                <w:color w:val="1A1A1A"/>
                <w:sz w:val="20"/>
                <w:szCs w:val="20"/>
              </w:rPr>
              <w:t>2% auto-deducted on each duel settlement</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8463BA8">
            <w:pPr>
              <w:jc w:val="left"/>
            </w:pPr>
            <w:r>
              <w:rPr>
                <w:rFonts w:ascii="Arial" w:hAnsi="Arial" w:eastAsia="Arial" w:cs="Arial"/>
                <w:color w:val="1A1A1A"/>
                <w:sz w:val="20"/>
                <w:szCs w:val="20"/>
              </w:rPr>
              <w:t>Current</w:t>
            </w:r>
          </w:p>
        </w:tc>
      </w:tr>
      <w:tr w14:paraId="260699E5">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59103E9">
            <w:pPr>
              <w:jc w:val="left"/>
            </w:pPr>
            <w:r>
              <w:rPr>
                <w:rFonts w:ascii="Arial" w:hAnsi="Arial" w:eastAsia="Arial" w:cs="Arial"/>
                <w:color w:val="1A1A1A"/>
                <w:sz w:val="20"/>
                <w:szCs w:val="20"/>
              </w:rPr>
              <w:t>Audience pool fee</w:t>
            </w:r>
          </w:p>
        </w:tc>
        <w:tc>
          <w:tcPr>
            <w:tcW w:w="3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5892F3E">
            <w:pPr>
              <w:jc w:val="left"/>
            </w:pPr>
            <w:r>
              <w:rPr>
                <w:rFonts w:ascii="Arial" w:hAnsi="Arial" w:eastAsia="Arial" w:cs="Arial"/>
                <w:color w:val="1A1A1A"/>
                <w:sz w:val="20"/>
                <w:szCs w:val="20"/>
              </w:rPr>
              <w:t>1–2% of spectator stake amounts</w:t>
            </w:r>
          </w:p>
        </w:tc>
        <w:tc>
          <w:tcPr>
            <w:tcW w:w="3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A525D1C">
            <w:pPr>
              <w:jc w:val="left"/>
            </w:pPr>
            <w:r>
              <w:rPr>
                <w:rFonts w:ascii="Arial" w:hAnsi="Arial" w:eastAsia="Arial" w:cs="Arial"/>
                <w:color w:val="1A1A1A"/>
                <w:sz w:val="20"/>
                <w:szCs w:val="20"/>
              </w:rPr>
              <w:t>Phase 2</w:t>
            </w:r>
          </w:p>
        </w:tc>
      </w:tr>
      <w:tr w14:paraId="574F8C4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93527E5">
            <w:pPr>
              <w:jc w:val="left"/>
            </w:pPr>
            <w:r>
              <w:rPr>
                <w:rFonts w:ascii="Arial" w:hAnsi="Arial" w:eastAsia="Arial" w:cs="Arial"/>
                <w:color w:val="1A1A1A"/>
                <w:sz w:val="20"/>
                <w:szCs w:val="20"/>
              </w:rPr>
              <w:t>REST API call fee</w:t>
            </w:r>
          </w:p>
        </w:tc>
        <w:tc>
          <w:tcPr>
            <w:tcW w:w="3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031E114">
            <w:pPr>
              <w:jc w:val="left"/>
            </w:pPr>
            <w:r>
              <w:rPr>
                <w:rFonts w:ascii="Arial" w:hAnsi="Arial" w:eastAsia="Arial" w:cs="Arial"/>
                <w:color w:val="1A1A1A"/>
                <w:sz w:val="20"/>
                <w:szCs w:val="20"/>
              </w:rPr>
              <w:t>Free tier + pay-per-call beyond quota (SaaS model)</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FF2689F">
            <w:pPr>
              <w:jc w:val="left"/>
            </w:pPr>
            <w:r>
              <w:rPr>
                <w:rFonts w:ascii="Arial" w:hAnsi="Arial" w:eastAsia="Arial" w:cs="Arial"/>
                <w:color w:val="1A1A1A"/>
                <w:sz w:val="20"/>
                <w:szCs w:val="20"/>
              </w:rPr>
              <w:t>Phase 1.5</w:t>
            </w:r>
          </w:p>
        </w:tc>
      </w:tr>
      <w:tr w14:paraId="2F0090F1">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4356E30">
            <w:pPr>
              <w:jc w:val="left"/>
            </w:pPr>
            <w:r>
              <w:rPr>
                <w:rFonts w:ascii="Arial" w:hAnsi="Arial" w:eastAsia="Arial" w:cs="Arial"/>
                <w:color w:val="1A1A1A"/>
                <w:sz w:val="20"/>
                <w:szCs w:val="20"/>
              </w:rPr>
              <w:t>Verdict Score premium services</w:t>
            </w:r>
          </w:p>
        </w:tc>
        <w:tc>
          <w:tcPr>
            <w:tcW w:w="3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6D5A134">
            <w:pPr>
              <w:jc w:val="left"/>
            </w:pPr>
            <w:r>
              <w:rPr>
                <w:rFonts w:ascii="Arial" w:hAnsi="Arial" w:eastAsia="Arial" w:cs="Arial"/>
                <w:color w:val="1A1A1A"/>
                <w:sz w:val="20"/>
                <w:szCs w:val="20"/>
              </w:rPr>
              <w:t>KOL certification, premium score display</w:t>
            </w:r>
          </w:p>
        </w:tc>
        <w:tc>
          <w:tcPr>
            <w:tcW w:w="3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87DD426">
            <w:pPr>
              <w:jc w:val="left"/>
            </w:pPr>
            <w:r>
              <w:rPr>
                <w:rFonts w:ascii="Arial" w:hAnsi="Arial" w:eastAsia="Arial" w:cs="Arial"/>
                <w:color w:val="1A1A1A"/>
                <w:sz w:val="20"/>
                <w:szCs w:val="20"/>
              </w:rPr>
              <w:t>Phase 1.5</w:t>
            </w:r>
          </w:p>
        </w:tc>
      </w:tr>
      <w:tr w14:paraId="2537AB56">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2E5747C">
            <w:pPr>
              <w:jc w:val="left"/>
            </w:pPr>
            <w:r>
              <w:rPr>
                <w:rFonts w:ascii="Arial" w:hAnsi="Arial" w:eastAsia="Arial" w:cs="Arial"/>
                <w:color w:val="1A1A1A"/>
                <w:sz w:val="20"/>
                <w:szCs w:val="20"/>
              </w:rPr>
              <w:t>VERDICT token fee sharing</w:t>
            </w:r>
          </w:p>
        </w:tc>
        <w:tc>
          <w:tcPr>
            <w:tcW w:w="3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B03DB92">
            <w:pPr>
              <w:jc w:val="left"/>
            </w:pPr>
            <w:r>
              <w:rPr>
                <w:rFonts w:ascii="Arial" w:hAnsi="Arial" w:eastAsia="Arial" w:cs="Arial"/>
                <w:color w:val="1A1A1A"/>
                <w:sz w:val="20"/>
                <w:szCs w:val="20"/>
              </w:rPr>
              <w:t>Token holders share protocol revenue proportionally</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32DBEA9">
            <w:pPr>
              <w:jc w:val="left"/>
            </w:pPr>
            <w:r>
              <w:rPr>
                <w:rFonts w:ascii="Arial" w:hAnsi="Arial" w:eastAsia="Arial" w:cs="Arial"/>
                <w:color w:val="1A1A1A"/>
                <w:sz w:val="20"/>
                <w:szCs w:val="20"/>
              </w:rPr>
              <w:t>Phase 3</w:t>
            </w:r>
          </w:p>
        </w:tc>
      </w:tr>
      <w:tr w14:paraId="4D428F72">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20326E1">
            <w:pPr>
              <w:jc w:val="left"/>
            </w:pPr>
            <w:r>
              <w:rPr>
                <w:rFonts w:ascii="Arial" w:hAnsi="Arial" w:eastAsia="Arial" w:cs="Arial"/>
                <w:color w:val="1A1A1A"/>
                <w:sz w:val="20"/>
                <w:szCs w:val="20"/>
              </w:rPr>
              <w:t>Third-party event service fee</w:t>
            </w:r>
          </w:p>
        </w:tc>
        <w:tc>
          <w:tcPr>
            <w:tcW w:w="3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E56EC91">
            <w:pPr>
              <w:jc w:val="left"/>
            </w:pPr>
            <w:r>
              <w:rPr>
                <w:rFonts w:ascii="Arial" w:hAnsi="Arial" w:eastAsia="Arial" w:cs="Arial"/>
                <w:color w:val="1A1A1A"/>
                <w:sz w:val="20"/>
                <w:szCs w:val="20"/>
              </w:rPr>
              <w:t>Service fee for brands launching custom on-chain wager campaigns</w:t>
            </w:r>
          </w:p>
        </w:tc>
        <w:tc>
          <w:tcPr>
            <w:tcW w:w="3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D25D7EA">
            <w:pPr>
              <w:jc w:val="left"/>
            </w:pPr>
            <w:r>
              <w:rPr>
                <w:rFonts w:ascii="Arial" w:hAnsi="Arial" w:eastAsia="Arial" w:cs="Arial"/>
                <w:color w:val="1A1A1A"/>
                <w:sz w:val="20"/>
                <w:szCs w:val="20"/>
              </w:rPr>
              <w:t>Phase 2</w:t>
            </w:r>
          </w:p>
        </w:tc>
      </w:tr>
    </w:tbl>
    <w:p w14:paraId="2A9704D7">
      <w:pPr>
        <w:spacing w:before="0" w:after="0"/>
      </w:pPr>
    </w:p>
    <w:p w14:paraId="08784AC4">
      <w:pPr>
        <w:pStyle w:val="3"/>
        <w:spacing w:before="360" w:after="160"/>
      </w:pPr>
      <w:r>
        <w:rPr>
          <w:rFonts w:ascii="Arial" w:hAnsi="Arial" w:eastAsia="Arial" w:cs="Arial"/>
          <w:b/>
          <w:bCs/>
          <w:color w:val="1A1A1A"/>
          <w:sz w:val="28"/>
          <w:szCs w:val="28"/>
        </w:rPr>
        <w:t>8.3  Ecosystem Synergy Value</w:t>
      </w:r>
    </w:p>
    <w:p w14:paraId="7F1F3DB4">
      <w:pPr>
        <w:spacing w:before="60" w:after="80" w:line="380" w:lineRule="auto"/>
        <w:jc w:val="both"/>
      </w:pPr>
      <w:r>
        <w:rPr>
          <w:rFonts w:ascii="Arial" w:hAnsi="Arial" w:eastAsia="Arial" w:cs="Arial"/>
          <w:b w:val="0"/>
          <w:bCs w:val="0"/>
          <w:i w:val="0"/>
          <w:iCs w:val="0"/>
          <w:color w:val="1A1A1A"/>
          <w:sz w:val="22"/>
          <w:szCs w:val="22"/>
        </w:rPr>
        <w:t>Beyond direct revenue, the synergy value Verdict Protocol creates for the Mantle ecosystem is significant:</w:t>
      </w:r>
    </w:p>
    <w:p w14:paraId="1575C653">
      <w:pPr>
        <w:pStyle w:val="16"/>
        <w:numPr>
          <w:ilvl w:val="0"/>
          <w:numId w:val="1"/>
        </w:numPr>
        <w:spacing w:before="60" w:after="60" w:line="360" w:lineRule="auto"/>
      </w:pPr>
      <w:r>
        <w:rPr>
          <w:rFonts w:ascii="Arial" w:hAnsi="Arial" w:eastAsia="Arial" w:cs="Arial"/>
          <w:color w:val="1A1A1A"/>
          <w:sz w:val="22"/>
          <w:szCs w:val="22"/>
        </w:rPr>
        <w:t>MNT utility — Each duel consumes MNT as wager currency, directly increasing on-chain transaction demand for MNT</w:t>
      </w:r>
    </w:p>
    <w:p w14:paraId="0821BD0F">
      <w:pPr>
        <w:pStyle w:val="16"/>
        <w:numPr>
          <w:ilvl w:val="0"/>
          <w:numId w:val="1"/>
        </w:numPr>
        <w:spacing w:before="60" w:after="60" w:line="360" w:lineRule="auto"/>
      </w:pPr>
      <w:r>
        <w:rPr>
          <w:rFonts w:ascii="Arial" w:hAnsi="Arial" w:eastAsia="Arial" w:cs="Arial"/>
          <w:color w:val="1A1A1A"/>
          <w:sz w:val="22"/>
          <w:szCs w:val="22"/>
        </w:rPr>
        <w:t>New user onboarding — KOL campaigns and wager events drive off-chain users to interact with the Mantle blockchain for the first time</w:t>
      </w:r>
    </w:p>
    <w:p w14:paraId="742374C5">
      <w:pPr>
        <w:pStyle w:val="16"/>
        <w:numPr>
          <w:ilvl w:val="0"/>
          <w:numId w:val="1"/>
        </w:numPr>
        <w:spacing w:before="60" w:after="60" w:line="360" w:lineRule="auto"/>
      </w:pPr>
      <w:r>
        <w:rPr>
          <w:rFonts w:ascii="Arial" w:hAnsi="Arial" w:eastAsia="Arial" w:cs="Arial"/>
          <w:color w:val="1A1A1A"/>
          <w:sz w:val="22"/>
          <w:szCs w:val="22"/>
        </w:rPr>
        <w:t>Retention beyond DeFi — Entertainment and social on-chain interaction improves non-financial user retention within the Mantle ecosystem</w:t>
      </w:r>
    </w:p>
    <w:p w14:paraId="03E9B7D4">
      <w:r>
        <w:br w:type="page"/>
      </w:r>
    </w:p>
    <w:p w14:paraId="1E5BA3A5">
      <w:pPr>
        <w:pStyle w:val="2"/>
        <w:pBdr>
          <w:bottom w:val="single" w:color="C0392B" w:sz="12" w:space="6"/>
        </w:pBdr>
        <w:spacing w:before="560" w:after="200"/>
      </w:pPr>
      <w:r>
        <w:rPr>
          <w:rFonts w:ascii="Arial" w:hAnsi="Arial" w:eastAsia="Arial" w:cs="Arial"/>
          <w:b/>
          <w:bCs/>
          <w:color w:val="1A1A1A"/>
          <w:sz w:val="36"/>
          <w:szCs w:val="36"/>
        </w:rPr>
        <w:t>Chapter 9  Risk Analysis &amp; Mitigation Strategies</w:t>
      </w:r>
    </w:p>
    <w:p w14:paraId="2FC18DD5">
      <w:pPr>
        <w:spacing w:before="60" w:after="80" w:line="380" w:lineRule="auto"/>
        <w:jc w:val="both"/>
      </w:pPr>
      <w:r>
        <w:rPr>
          <w:rFonts w:ascii="Arial" w:hAnsi="Arial" w:eastAsia="Arial" w:cs="Arial"/>
          <w:b w:val="0"/>
          <w:bCs w:val="0"/>
          <w:i w:val="0"/>
          <w:iCs w:val="0"/>
          <w:color w:val="1A1A1A"/>
          <w:sz w:val="22"/>
          <w:szCs w:val="22"/>
        </w:rPr>
        <w:t>This chapter provides a systematic analysis of the primary risks facing Verdict Protocol across technical, market, operational, and compliance dimensions, with corresponding mitigation strategies.</w:t>
      </w:r>
    </w:p>
    <w:p w14:paraId="2DF3586B">
      <w:pPr>
        <w:spacing w:before="0" w:after="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000"/>
        <w:gridCol w:w="1200"/>
        <w:gridCol w:w="3560"/>
      </w:tblGrid>
      <w:tr w14:paraId="5010D454">
        <w:tc>
          <w:tcPr>
            <w:tcW w:w="16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7F2F09C0">
            <w:pPr>
              <w:jc w:val="center"/>
            </w:pPr>
            <w:r>
              <w:rPr>
                <w:rFonts w:ascii="Arial" w:hAnsi="Arial" w:eastAsia="Arial" w:cs="Arial"/>
                <w:b/>
                <w:bCs/>
                <w:color w:val="FFFFFF"/>
                <w:sz w:val="20"/>
                <w:szCs w:val="20"/>
              </w:rPr>
              <w:t>Risk Type</w:t>
            </w:r>
          </w:p>
        </w:tc>
        <w:tc>
          <w:tcPr>
            <w:tcW w:w="3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177ACEA5">
            <w:pPr>
              <w:jc w:val="center"/>
            </w:pPr>
            <w:r>
              <w:rPr>
                <w:rFonts w:ascii="Arial" w:hAnsi="Arial" w:eastAsia="Arial" w:cs="Arial"/>
                <w:b/>
                <w:bCs/>
                <w:color w:val="FFFFFF"/>
                <w:sz w:val="20"/>
                <w:szCs w:val="20"/>
              </w:rPr>
              <w:t>Risk Description</w:t>
            </w:r>
          </w:p>
        </w:tc>
        <w:tc>
          <w:tcPr>
            <w:tcW w:w="12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60E8CD5F">
            <w:pPr>
              <w:jc w:val="center"/>
            </w:pPr>
            <w:r>
              <w:rPr>
                <w:rFonts w:ascii="Arial" w:hAnsi="Arial" w:eastAsia="Arial" w:cs="Arial"/>
                <w:b/>
                <w:bCs/>
                <w:color w:val="FFFFFF"/>
                <w:sz w:val="20"/>
                <w:szCs w:val="20"/>
              </w:rPr>
              <w:t>Impact</w:t>
            </w:r>
          </w:p>
        </w:tc>
        <w:tc>
          <w:tcPr>
            <w:tcW w:w="35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tcPr>
          <w:p w14:paraId="3EDF936B">
            <w:pPr>
              <w:jc w:val="center"/>
            </w:pPr>
            <w:r>
              <w:rPr>
                <w:rFonts w:ascii="Arial" w:hAnsi="Arial" w:eastAsia="Arial" w:cs="Arial"/>
                <w:b/>
                <w:bCs/>
                <w:color w:val="FFFFFF"/>
                <w:sz w:val="20"/>
                <w:szCs w:val="20"/>
              </w:rPr>
              <w:t>Mitigation Strategy</w:t>
            </w:r>
          </w:p>
        </w:tc>
      </w:tr>
      <w:tr w14:paraId="0E499731">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1D4A8E7">
            <w:pPr>
              <w:jc w:val="left"/>
            </w:pPr>
            <w:r>
              <w:rPr>
                <w:rFonts w:ascii="Arial" w:hAnsi="Arial" w:eastAsia="Arial" w:cs="Arial"/>
                <w:color w:val="1A1A1A"/>
                <w:sz w:val="20"/>
                <w:szCs w:val="20"/>
              </w:rPr>
              <w:t>Cold-start risk</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99F3668">
            <w:pPr>
              <w:jc w:val="left"/>
            </w:pPr>
            <w:r>
              <w:rPr>
                <w:rFonts w:ascii="Arial" w:hAnsi="Arial" w:eastAsia="Arial" w:cs="Arial"/>
                <w:color w:val="1A1A1A"/>
                <w:sz w:val="20"/>
                <w:szCs w:val="20"/>
              </w:rPr>
              <w:t>The wager protocol depends on bilateral users; early stages may see insufficient liquidity and duels going unaccepted</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13BDE33">
            <w:pPr>
              <w:jc w:val="left"/>
            </w:pPr>
            <w:r>
              <w:rPr>
                <w:rFonts w:ascii="Arial" w:hAnsi="Arial" w:eastAsia="Arial" w:cs="Arial"/>
                <w:color w:val="1A1A1A"/>
                <w:sz w:val="20"/>
                <w:szCs w:val="20"/>
              </w:rPr>
              <w:t>High</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F601C3F">
            <w:pPr>
              <w:jc w:val="left"/>
            </w:pPr>
            <w:r>
              <w:rPr>
                <w:rFonts w:ascii="Arial" w:hAnsi="Arial" w:eastAsia="Arial" w:cs="Arial"/>
                <w:color w:val="1A1A1A"/>
                <w:sz w:val="20"/>
                <w:szCs w:val="20"/>
              </w:rPr>
              <w:t>Replace organic growth with event-driven operations: proactively invite KOLs to publicly wager and generate topic-driven traffic</w:t>
            </w:r>
          </w:p>
        </w:tc>
      </w:tr>
      <w:tr w14:paraId="51A1205F">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523153B4">
            <w:pPr>
              <w:jc w:val="left"/>
            </w:pPr>
            <w:r>
              <w:rPr>
                <w:rFonts w:ascii="Arial" w:hAnsi="Arial" w:eastAsia="Arial" w:cs="Arial"/>
                <w:color w:val="1A1A1A"/>
                <w:sz w:val="20"/>
                <w:szCs w:val="20"/>
              </w:rPr>
              <w:t>AI ruling credibility</w:t>
            </w:r>
          </w:p>
        </w:tc>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E0726A2">
            <w:pPr>
              <w:jc w:val="left"/>
            </w:pPr>
            <w:r>
              <w:rPr>
                <w:rFonts w:ascii="Arial" w:hAnsi="Arial" w:eastAsia="Arial" w:cs="Arial"/>
                <w:color w:val="1A1A1A"/>
                <w:sz w:val="20"/>
                <w:szCs w:val="20"/>
              </w:rPr>
              <w:t>Losing parties may challenge AI rulings as unfair, damaging user trust and platform reputation</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264E3ACD">
            <w:pPr>
              <w:jc w:val="left"/>
            </w:pPr>
            <w:r>
              <w:rPr>
                <w:rFonts w:ascii="Arial" w:hAnsi="Arial" w:eastAsia="Arial" w:cs="Arial"/>
                <w:color w:val="1A1A1A"/>
                <w:sz w:val="20"/>
                <w:szCs w:val="20"/>
              </w:rPr>
              <w:t>High</w:t>
            </w:r>
          </w:p>
        </w:tc>
        <w:tc>
          <w:tcPr>
            <w:tcW w:w="3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47777EB9">
            <w:pPr>
              <w:jc w:val="left"/>
            </w:pPr>
            <w:r>
              <w:rPr>
                <w:rFonts w:ascii="Arial" w:hAnsi="Arial" w:eastAsia="Arial" w:cs="Arial"/>
                <w:color w:val="1A1A1A"/>
                <w:sz w:val="20"/>
                <w:szCs w:val="20"/>
              </w:rPr>
              <w:t>Full ruling process is transparent on-chain with reasoning steps recorded in full; Insufficient protection prevents forced rulings</w:t>
            </w:r>
          </w:p>
        </w:tc>
      </w:tr>
      <w:tr w14:paraId="335B18FE">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29AF3EC9">
            <w:pPr>
              <w:jc w:val="left"/>
            </w:pPr>
            <w:r>
              <w:rPr>
                <w:rFonts w:ascii="Arial" w:hAnsi="Arial" w:eastAsia="Arial" w:cs="Arial"/>
                <w:color w:val="1A1A1A"/>
                <w:sz w:val="20"/>
                <w:szCs w:val="20"/>
              </w:rPr>
              <w:t>Smart contract security</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6EC8524B">
            <w:pPr>
              <w:jc w:val="left"/>
            </w:pPr>
            <w:r>
              <w:rPr>
                <w:rFonts w:ascii="Arial" w:hAnsi="Arial" w:eastAsia="Arial" w:cs="Arial"/>
                <w:color w:val="1A1A1A"/>
                <w:sz w:val="20"/>
                <w:szCs w:val="20"/>
              </w:rPr>
              <w:t>Smart contract vulnerabilities may lead to user fund losses</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C5A9196">
            <w:pPr>
              <w:jc w:val="left"/>
            </w:pPr>
            <w:r>
              <w:rPr>
                <w:rFonts w:ascii="Arial" w:hAnsi="Arial" w:eastAsia="Arial" w:cs="Arial"/>
                <w:color w:val="1A1A1A"/>
                <w:sz w:val="20"/>
                <w:szCs w:val="20"/>
              </w:rPr>
              <w:t>Critical</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F10B7F7">
            <w:pPr>
              <w:jc w:val="left"/>
            </w:pPr>
            <w:r>
              <w:rPr>
                <w:rFonts w:ascii="Arial" w:hAnsi="Arial" w:eastAsia="Arial" w:cs="Arial"/>
                <w:color w:val="1A1A1A"/>
                <w:sz w:val="20"/>
                <w:szCs w:val="20"/>
              </w:rPr>
              <w:t>Complete third-party professional contract audit before mainnet; thorough testnet testing before mainnet deployment</w:t>
            </w:r>
          </w:p>
        </w:tc>
      </w:tr>
      <w:tr w14:paraId="1309673B">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73604464">
            <w:pPr>
              <w:jc w:val="left"/>
            </w:pPr>
            <w:r>
              <w:rPr>
                <w:rFonts w:ascii="Arial" w:hAnsi="Arial" w:eastAsia="Arial" w:cs="Arial"/>
                <w:color w:val="1A1A1A"/>
                <w:sz w:val="20"/>
                <w:szCs w:val="20"/>
              </w:rPr>
              <w:t>Adjudication boundary risk</w:t>
            </w:r>
          </w:p>
        </w:tc>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4F72596">
            <w:pPr>
              <w:jc w:val="left"/>
            </w:pPr>
            <w:r>
              <w:rPr>
                <w:rFonts w:ascii="Arial" w:hAnsi="Arial" w:eastAsia="Arial" w:cs="Arial"/>
                <w:color w:val="1A1A1A"/>
                <w:sz w:val="20"/>
                <w:szCs w:val="20"/>
              </w:rPr>
              <w:t>Some dispute descriptions are vague or objectively unverifiable; AI Judge may be unable to render a definitive ruling</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3045CE13">
            <w:pPr>
              <w:jc w:val="left"/>
            </w:pPr>
            <w:r>
              <w:rPr>
                <w:rFonts w:ascii="Arial" w:hAnsi="Arial" w:eastAsia="Arial" w:cs="Arial"/>
                <w:color w:val="1A1A1A"/>
                <w:sz w:val="20"/>
                <w:szCs w:val="20"/>
              </w:rPr>
              <w:t>Medium</w:t>
            </w:r>
          </w:p>
        </w:tc>
        <w:tc>
          <w:tcPr>
            <w:tcW w:w="3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C6D7735">
            <w:pPr>
              <w:jc w:val="left"/>
            </w:pPr>
            <w:r>
              <w:rPr>
                <w:rFonts w:ascii="Arial" w:hAnsi="Arial" w:eastAsia="Arial" w:cs="Arial"/>
                <w:color w:val="1A1A1A"/>
                <w:sz w:val="20"/>
                <w:szCs w:val="20"/>
              </w:rPr>
              <w:t>AI returns Insufficient status to protect both parties; continuous Prompt Engineering optimization to expand the adjudicable scope</w:t>
            </w:r>
          </w:p>
        </w:tc>
      </w:tr>
      <w:tr w14:paraId="3C4E0551">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A0FA793">
            <w:pPr>
              <w:jc w:val="left"/>
            </w:pPr>
            <w:r>
              <w:rPr>
                <w:rFonts w:ascii="Arial" w:hAnsi="Arial" w:eastAsia="Arial" w:cs="Arial"/>
                <w:color w:val="1A1A1A"/>
                <w:sz w:val="20"/>
                <w:szCs w:val="20"/>
              </w:rPr>
              <w:t>Regulatory compliance risk</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1EC8409">
            <w:pPr>
              <w:jc w:val="left"/>
            </w:pPr>
            <w:r>
              <w:rPr>
                <w:rFonts w:ascii="Arial" w:hAnsi="Arial" w:eastAsia="Arial" w:cs="Arial"/>
                <w:color w:val="1A1A1A"/>
                <w:sz w:val="20"/>
                <w:szCs w:val="20"/>
              </w:rPr>
              <w:t>On-chain wagering may face legal restrictions in certain jurisdictions</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12E4D6F3">
            <w:pPr>
              <w:jc w:val="left"/>
            </w:pPr>
            <w:r>
              <w:rPr>
                <w:rFonts w:ascii="Arial" w:hAnsi="Arial" w:eastAsia="Arial" w:cs="Arial"/>
                <w:color w:val="1A1A1A"/>
                <w:sz w:val="20"/>
                <w:szCs w:val="20"/>
              </w:rPr>
              <w:t>Medium</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FE63AD0">
            <w:pPr>
              <w:jc w:val="left"/>
            </w:pPr>
            <w:r>
              <w:rPr>
                <w:rFonts w:ascii="Arial" w:hAnsi="Arial" w:eastAsia="Arial" w:cs="Arial"/>
                <w:color w:val="1A1A1A"/>
                <w:sz w:val="20"/>
                <w:szCs w:val="20"/>
              </w:rPr>
              <w:t>Currently positioned as a tool platform, not a gambling platform; monitor regulatory developments and adjust product design as needed</w:t>
            </w:r>
          </w:p>
        </w:tc>
      </w:tr>
      <w:tr w14:paraId="6E9EC755">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5AE6BD1">
            <w:pPr>
              <w:jc w:val="left"/>
            </w:pPr>
            <w:r>
              <w:rPr>
                <w:rFonts w:ascii="Arial" w:hAnsi="Arial" w:eastAsia="Arial" w:cs="Arial"/>
                <w:color w:val="1A1A1A"/>
                <w:sz w:val="20"/>
                <w:szCs w:val="20"/>
              </w:rPr>
              <w:t>Market competition risk</w:t>
            </w:r>
          </w:p>
        </w:tc>
        <w:tc>
          <w:tcPr>
            <w:tcW w:w="3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1F8DEFDC">
            <w:pPr>
              <w:jc w:val="left"/>
            </w:pPr>
            <w:r>
              <w:rPr>
                <w:rFonts w:ascii="Arial" w:hAnsi="Arial" w:eastAsia="Arial" w:cs="Arial"/>
                <w:color w:val="1A1A1A"/>
                <w:sz w:val="20"/>
                <w:szCs w:val="20"/>
              </w:rPr>
              <w:t>Large platforms like Polymarket or new entrants may enter the Mantle ecosystem</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67AB99A4">
            <w:pPr>
              <w:jc w:val="left"/>
            </w:pPr>
            <w:r>
              <w:rPr>
                <w:rFonts w:ascii="Arial" w:hAnsi="Arial" w:eastAsia="Arial" w:cs="Arial"/>
                <w:color w:val="1A1A1A"/>
                <w:sz w:val="20"/>
                <w:szCs w:val="20"/>
              </w:rPr>
              <w:t>Medium</w:t>
            </w:r>
          </w:p>
        </w:tc>
        <w:tc>
          <w:tcPr>
            <w:tcW w:w="356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60" w:type="dxa"/>
              <w:bottom w:w="80" w:type="dxa"/>
              <w:right w:w="160" w:type="dxa"/>
            </w:tcMar>
          </w:tcPr>
          <w:p w14:paraId="0866E104">
            <w:pPr>
              <w:jc w:val="left"/>
            </w:pPr>
            <w:r>
              <w:rPr>
                <w:rFonts w:ascii="Arial" w:hAnsi="Arial" w:eastAsia="Arial" w:cs="Arial"/>
                <w:color w:val="1A1A1A"/>
                <w:sz w:val="20"/>
                <w:szCs w:val="20"/>
              </w:rPr>
              <w:t>First-mover advantage + three-product matrix moat; AI Judge capability moat difficult to replicate in the short term</w:t>
            </w:r>
          </w:p>
        </w:tc>
      </w:tr>
      <w:tr w14:paraId="69944BFE">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8F0E1C1">
            <w:pPr>
              <w:jc w:val="left"/>
            </w:pPr>
            <w:r>
              <w:rPr>
                <w:rFonts w:ascii="Arial" w:hAnsi="Arial" w:eastAsia="Arial" w:cs="Arial"/>
                <w:color w:val="1A1A1A"/>
                <w:sz w:val="20"/>
                <w:szCs w:val="20"/>
              </w:rPr>
              <w:t>Technical debt risk</w:t>
            </w:r>
          </w:p>
        </w:tc>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08707891">
            <w:pPr>
              <w:jc w:val="left"/>
            </w:pPr>
            <w:r>
              <w:rPr>
                <w:rFonts w:ascii="Arial" w:hAnsi="Arial" w:eastAsia="Arial" w:cs="Arial"/>
                <w:color w:val="1A1A1A"/>
                <w:sz w:val="20"/>
                <w:szCs w:val="20"/>
              </w:rPr>
              <w:t>Rapid iteration may accumulate technical debt, affecting later scalability</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50D6B889">
            <w:pPr>
              <w:jc w:val="left"/>
            </w:pPr>
            <w:r>
              <w:rPr>
                <w:rFonts w:ascii="Arial" w:hAnsi="Arial" w:eastAsia="Arial" w:cs="Arial"/>
                <w:color w:val="1A1A1A"/>
                <w:sz w:val="20"/>
                <w:szCs w:val="20"/>
              </w:rPr>
              <w:t>Low</w:t>
            </w:r>
          </w:p>
        </w:tc>
        <w:tc>
          <w:tcPr>
            <w:tcW w:w="3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60" w:type="dxa"/>
              <w:bottom w:w="80" w:type="dxa"/>
              <w:right w:w="160" w:type="dxa"/>
            </w:tcMar>
          </w:tcPr>
          <w:p w14:paraId="3FE23A5B">
            <w:pPr>
              <w:jc w:val="left"/>
            </w:pPr>
            <w:r>
              <w:rPr>
                <w:rFonts w:ascii="Arial" w:hAnsi="Arial" w:eastAsia="Arial" w:cs="Arial"/>
                <w:color w:val="1A1A1A"/>
                <w:sz w:val="20"/>
                <w:szCs w:val="20"/>
              </w:rPr>
              <w:t>Modular architecture design; SDK abstraction layer decouples contract from frontend</w:t>
            </w:r>
          </w:p>
        </w:tc>
      </w:tr>
    </w:tbl>
    <w:p w14:paraId="43FE737F">
      <w:r>
        <w:br w:type="page"/>
      </w:r>
    </w:p>
    <w:p w14:paraId="23216D75">
      <w:pPr>
        <w:pStyle w:val="2"/>
        <w:pBdr>
          <w:bottom w:val="single" w:color="C0392B" w:sz="12" w:space="6"/>
        </w:pBdr>
        <w:spacing w:before="560" w:after="200"/>
      </w:pPr>
      <w:r>
        <w:rPr>
          <w:rFonts w:ascii="Arial" w:hAnsi="Arial" w:eastAsia="Arial" w:cs="Arial"/>
          <w:b/>
          <w:bCs/>
          <w:color w:val="1A1A1A"/>
          <w:sz w:val="36"/>
          <w:szCs w:val="36"/>
        </w:rPr>
        <w:t>Chapter 10  Strategic Summary</w:t>
      </w:r>
    </w:p>
    <w:p w14:paraId="30FC34E7">
      <w:pPr>
        <w:pStyle w:val="3"/>
        <w:spacing w:before="360" w:after="160"/>
      </w:pPr>
      <w:r>
        <w:rPr>
          <w:rFonts w:ascii="Arial" w:hAnsi="Arial" w:eastAsia="Arial" w:cs="Arial"/>
          <w:b/>
          <w:bCs/>
          <w:color w:val="1A1A1A"/>
          <w:sz w:val="28"/>
          <w:szCs w:val="28"/>
        </w:rPr>
        <w:t>10.1  Current Stage Assessment</w:t>
      </w:r>
    </w:p>
    <w:p w14:paraId="1036EC79">
      <w:pPr>
        <w:spacing w:before="60" w:after="80" w:line="380" w:lineRule="auto"/>
        <w:jc w:val="both"/>
      </w:pPr>
      <w:r>
        <w:rPr>
          <w:rFonts w:ascii="Arial" w:hAnsi="Arial" w:eastAsia="Arial" w:cs="Arial"/>
          <w:b w:val="0"/>
          <w:bCs w:val="0"/>
          <w:i w:val="0"/>
          <w:iCs w:val="0"/>
          <w:color w:val="1A1A1A"/>
          <w:sz w:val="22"/>
          <w:szCs w:val="22"/>
        </w:rPr>
        <w:t>Verdict Protocol has established a clear first-mover advantage across five dimensions:</w:t>
      </w:r>
    </w:p>
    <w:p w14:paraId="166D9D32">
      <w:pPr>
        <w:pStyle w:val="16"/>
        <w:numPr>
          <w:ilvl w:val="0"/>
          <w:numId w:val="2"/>
        </w:numPr>
        <w:spacing w:before="60" w:after="60" w:line="360" w:lineRule="auto"/>
      </w:pPr>
      <w:r>
        <w:rPr>
          <w:rFonts w:ascii="Arial" w:hAnsi="Arial" w:eastAsia="Arial" w:cs="Arial"/>
          <w:color w:val="1A1A1A"/>
          <w:sz w:val="22"/>
          <w:szCs w:val="22"/>
        </w:rPr>
        <w:t>Technical completeness — AI Judge, smart contract, dApp, Bot, extension, and SDK: all six modules complete, with the technology stack fully validated.</w:t>
      </w:r>
    </w:p>
    <w:p w14:paraId="494FC7BB">
      <w:pPr>
        <w:pStyle w:val="16"/>
        <w:numPr>
          <w:ilvl w:val="0"/>
          <w:numId w:val="2"/>
        </w:numPr>
        <w:spacing w:before="60" w:after="60" w:line="360" w:lineRule="auto"/>
      </w:pPr>
      <w:r>
        <w:rPr>
          <w:rFonts w:ascii="Arial" w:hAnsi="Arial" w:eastAsia="Arial" w:cs="Arial"/>
          <w:color w:val="1A1A1A"/>
          <w:sz w:val="22"/>
          <w:szCs w:val="22"/>
        </w:rPr>
        <w:t>Product synergy — Three products share the AI Judge core, cross-referring traffic to form a unique ecosystem loop.</w:t>
      </w:r>
    </w:p>
    <w:p w14:paraId="58D62F0A">
      <w:pPr>
        <w:pStyle w:val="16"/>
        <w:numPr>
          <w:ilvl w:val="0"/>
          <w:numId w:val="2"/>
        </w:numPr>
        <w:spacing w:before="60" w:after="60" w:line="360" w:lineRule="auto"/>
      </w:pPr>
      <w:r>
        <w:rPr>
          <w:rFonts w:ascii="Arial" w:hAnsi="Arial" w:eastAsia="Arial" w:cs="Arial"/>
          <w:color w:val="1A1A1A"/>
          <w:sz w:val="22"/>
          <w:szCs w:val="22"/>
        </w:rPr>
        <w:t>Accurate ecosystem positioning — Precisely fills the three gaps in the Mantle ecosystem: consumer apps, AI on-chain interaction, and on-chain wagering.</w:t>
      </w:r>
    </w:p>
    <w:p w14:paraId="5D5E1EF7">
      <w:pPr>
        <w:pStyle w:val="16"/>
        <w:numPr>
          <w:ilvl w:val="0"/>
          <w:numId w:val="2"/>
        </w:numPr>
        <w:spacing w:before="60" w:after="60" w:line="360" w:lineRule="auto"/>
      </w:pPr>
      <w:r>
        <w:rPr>
          <w:rFonts w:ascii="Arial" w:hAnsi="Arial" w:eastAsia="Arial" w:cs="Arial"/>
          <w:color w:val="1A1A1A"/>
          <w:sz w:val="22"/>
          <w:szCs w:val="22"/>
        </w:rPr>
        <w:t>Milestone validation — four.meme AI Sprint Top 10 and Community Award demonstrate community acceptance of the product.</w:t>
      </w:r>
    </w:p>
    <w:p w14:paraId="39530B10">
      <w:pPr>
        <w:pStyle w:val="16"/>
        <w:numPr>
          <w:ilvl w:val="0"/>
          <w:numId w:val="2"/>
        </w:numPr>
        <w:spacing w:before="60" w:after="60" w:line="360" w:lineRule="auto"/>
      </w:pPr>
      <w:r>
        <w:rPr>
          <w:rFonts w:ascii="Arial" w:hAnsi="Arial" w:eastAsia="Arial" w:cs="Arial"/>
          <w:color w:val="1A1A1A"/>
          <w:sz w:val="22"/>
          <w:szCs w:val="22"/>
        </w:rPr>
        <w:t>Open ecosystem positioning — npm SDK published; REST API in the next release plan; infrastructure positioning clearly defined.</w:t>
      </w:r>
    </w:p>
    <w:p w14:paraId="0CEC6EF2">
      <w:pPr>
        <w:spacing w:before="0" w:after="0"/>
      </w:pPr>
    </w:p>
    <w:p w14:paraId="33A3CFB8">
      <w:pPr>
        <w:pStyle w:val="3"/>
        <w:spacing w:before="360" w:after="160"/>
      </w:pPr>
      <w:r>
        <w:rPr>
          <w:rFonts w:ascii="Arial" w:hAnsi="Arial" w:eastAsia="Arial" w:cs="Arial"/>
          <w:b/>
          <w:bCs/>
          <w:color w:val="1A1A1A"/>
          <w:sz w:val="28"/>
          <w:szCs w:val="28"/>
        </w:rPr>
        <w:t>10.2  Key Growth Levers</w:t>
      </w:r>
    </w:p>
    <w:p w14:paraId="5F101826">
      <w:pPr>
        <w:spacing w:before="60" w:after="80" w:line="380" w:lineRule="auto"/>
        <w:jc w:val="both"/>
      </w:pPr>
      <w:r>
        <w:rPr>
          <w:rFonts w:ascii="Arial" w:hAnsi="Arial" w:eastAsia="Arial" w:cs="Arial"/>
          <w:b w:val="0"/>
          <w:bCs w:val="0"/>
          <w:i w:val="0"/>
          <w:iCs w:val="0"/>
          <w:color w:val="1A1A1A"/>
          <w:sz w:val="22"/>
          <w:szCs w:val="22"/>
        </w:rPr>
        <w:t>Over the next 12 months, the following three levers will contribute most to growth:</w:t>
      </w:r>
    </w:p>
    <w:p w14:paraId="05D75590">
      <w:pPr>
        <w:pStyle w:val="16"/>
        <w:numPr>
          <w:ilvl w:val="0"/>
          <w:numId w:val="1"/>
        </w:numPr>
        <w:spacing w:before="60" w:after="60" w:line="360" w:lineRule="auto"/>
      </w:pPr>
      <w:r>
        <w:rPr>
          <w:rFonts w:ascii="Arial" w:hAnsi="Arial" w:eastAsia="Arial" w:cs="Arial"/>
          <w:color w:val="1A1A1A"/>
          <w:sz w:val="22"/>
          <w:szCs w:val="22"/>
        </w:rPr>
        <w:t>Verdict Score launch — The social virality of KOL credit ratings is expected to generate substantial organic traffic; this is the highest-leverage next step.</w:t>
      </w:r>
    </w:p>
    <w:p w14:paraId="29A774E1">
      <w:pPr>
        <w:pStyle w:val="16"/>
        <w:numPr>
          <w:ilvl w:val="0"/>
          <w:numId w:val="1"/>
        </w:numPr>
        <w:spacing w:before="60" w:after="60" w:line="360" w:lineRule="auto"/>
      </w:pPr>
      <w:r>
        <w:rPr>
          <w:rFonts w:ascii="Arial" w:hAnsi="Arial" w:eastAsia="Arial" w:cs="Arial"/>
          <w:color w:val="1A1A1A"/>
          <w:sz w:val="22"/>
          <w:szCs w:val="22"/>
        </w:rPr>
        <w:t>Mainnet deployment — The transition from Testnet to mainnet is the critical inflection point from hundreds to tens of thousands of users, and the point at which commercial revenue truly begins.</w:t>
      </w:r>
    </w:p>
    <w:p w14:paraId="1DE26F51">
      <w:pPr>
        <w:pStyle w:val="16"/>
        <w:numPr>
          <w:ilvl w:val="0"/>
          <w:numId w:val="1"/>
        </w:numPr>
        <w:spacing w:before="60" w:after="60" w:line="360" w:lineRule="auto"/>
      </w:pPr>
      <w:r>
        <w:rPr>
          <w:rFonts w:ascii="Arial" w:hAnsi="Arial" w:eastAsia="Arial" w:cs="Arial"/>
          <w:color w:val="1A1A1A"/>
          <w:sz w:val="22"/>
          <w:szCs w:val="22"/>
        </w:rPr>
        <w:t>REST API release — Transforms AI Judge from a product core to an industry infrastructure layer, establishing the brand identity for the adjudication space.</w:t>
      </w:r>
    </w:p>
    <w:p w14:paraId="3F18274D">
      <w:pPr>
        <w:spacing w:before="0" w:after="0"/>
      </w:pPr>
    </w:p>
    <w:p w14:paraId="0E1C5C8C">
      <w:pPr>
        <w:pStyle w:val="3"/>
        <w:spacing w:before="360" w:after="160"/>
      </w:pPr>
      <w:r>
        <w:rPr>
          <w:rFonts w:ascii="Arial" w:hAnsi="Arial" w:eastAsia="Arial" w:cs="Arial"/>
          <w:b/>
          <w:bCs/>
          <w:color w:val="1A1A1A"/>
          <w:sz w:val="28"/>
          <w:szCs w:val="28"/>
        </w:rPr>
        <w:t>10.3  Long-Term Vision</w:t>
      </w:r>
    </w:p>
    <w:p w14:paraId="19B78A0E">
      <w:pPr>
        <w:spacing w:before="60" w:after="80" w:line="380" w:lineRule="auto"/>
        <w:jc w:val="both"/>
      </w:pPr>
      <w:r>
        <w:rPr>
          <w:rFonts w:ascii="Arial" w:hAnsi="Arial" w:eastAsia="Arial" w:cs="Arial"/>
          <w:b w:val="0"/>
          <w:bCs w:val="0"/>
          <w:i w:val="0"/>
          <w:iCs w:val="0"/>
          <w:color w:val="1A1A1A"/>
          <w:sz w:val="22"/>
          <w:szCs w:val="22"/>
        </w:rPr>
        <w:t>Verdict Protocol's ultimate goal is to become the infrastructure standard for on-chain adjudication — in the same way Stripe became the standard for payments.</w:t>
      </w:r>
    </w:p>
    <w:p w14:paraId="2C533563">
      <w:pPr>
        <w:spacing w:before="60" w:after="80" w:line="380" w:lineRule="auto"/>
        <w:jc w:val="both"/>
      </w:pPr>
      <w:r>
        <w:rPr>
          <w:rFonts w:ascii="Arial" w:hAnsi="Arial" w:eastAsia="Arial" w:cs="Arial"/>
          <w:b w:val="0"/>
          <w:bCs w:val="0"/>
          <w:i w:val="0"/>
          <w:iCs w:val="0"/>
          <w:color w:val="1A1A1A"/>
          <w:sz w:val="22"/>
          <w:szCs w:val="22"/>
        </w:rPr>
        <w:t>Short term (2026): Complete Mantle mainnet deployment, establish the KOL credit rating system, accumulate 10,000+ AI rulings.</w:t>
      </w:r>
    </w:p>
    <w:p w14:paraId="6EE2254D">
      <w:pPr>
        <w:spacing w:before="60" w:after="80" w:line="380" w:lineRule="auto"/>
        <w:jc w:val="both"/>
      </w:pPr>
      <w:r>
        <w:rPr>
          <w:rFonts w:ascii="Arial" w:hAnsi="Arial" w:eastAsia="Arial" w:cs="Arial"/>
          <w:b w:val="0"/>
          <w:bCs w:val="0"/>
          <w:i w:val="0"/>
          <w:iCs w:val="0"/>
          <w:color w:val="1A1A1A"/>
          <w:sz w:val="22"/>
          <w:szCs w:val="22"/>
        </w:rPr>
        <w:t>Medium term (2027): Multi-chain expansion to 5+ major EVM chains, REST API serving 100+ third-party integrations, VERDICT governance token launched.</w:t>
      </w:r>
    </w:p>
    <w:p w14:paraId="6CFD223D">
      <w:pPr>
        <w:spacing w:before="60" w:after="80" w:line="380" w:lineRule="auto"/>
        <w:jc w:val="both"/>
      </w:pPr>
      <w:r>
        <w:rPr>
          <w:rFonts w:ascii="Arial" w:hAnsi="Arial" w:eastAsia="Arial" w:cs="Arial"/>
          <w:b w:val="0"/>
          <w:bCs w:val="0"/>
          <w:i w:val="0"/>
          <w:iCs w:val="0"/>
          <w:color w:val="1A1A1A"/>
          <w:sz w:val="22"/>
          <w:szCs w:val="22"/>
        </w:rPr>
        <w:t>Long term (2028 and beyond): AI Judge capability expands beyond on-chain scenarios into off-chain adjudication markets such as freelance platforms, e-commerce, and insurance — becoming a universal arbitration API.</w:t>
      </w:r>
    </w:p>
    <w:p w14:paraId="75ED4134">
      <w:pPr>
        <w:spacing w:before="0" w:after="0"/>
      </w:pPr>
    </w:p>
    <w:p w14:paraId="14D697A4">
      <w:pPr>
        <w:spacing w:before="0" w:after="0"/>
      </w:pPr>
    </w:p>
    <w:p w14:paraId="76F89E26">
      <w:pPr>
        <w:pBdr>
          <w:top w:val="single" w:color="C0392B" w:sz="8" w:space="8"/>
        </w:pBdr>
        <w:spacing w:before="400" w:after="0"/>
        <w:jc w:val="center"/>
      </w:pPr>
      <w:r>
        <w:rPr>
          <w:rFonts w:ascii="Arial" w:hAnsi="Arial" w:eastAsia="Arial" w:cs="Arial"/>
          <w:i/>
          <w:iCs/>
          <w:color w:val="C0392B"/>
          <w:sz w:val="24"/>
          <w:szCs w:val="24"/>
        </w:rPr>
        <w:t>⚖  Any two parties. Any verifiable outcome. AI decides.</w:t>
      </w:r>
    </w:p>
    <w:p w14:paraId="5BB590A3">
      <w:pPr>
        <w:spacing w:before="120" w:after="0"/>
        <w:jc w:val="center"/>
      </w:pPr>
      <w:r>
        <w:rPr>
          <w:rFonts w:ascii="Arial" w:hAnsi="Arial" w:eastAsia="Arial" w:cs="Arial"/>
          <w:color w:val="5A5A5A"/>
          <w:sz w:val="18"/>
          <w:szCs w:val="18"/>
        </w:rPr>
        <w:t>verdictstory.vercel.app  ·  verdictprotocol.online  ·  @VerdictProtocol_Bot  ·  x.com/yundan1216</w:t>
      </w:r>
    </w:p>
    <w:sectPr>
      <w:headerReference r:id="rId3" w:type="default"/>
      <w:footerReference r:id="rId4" w:type="default"/>
      <w:pgSz w:w="11906" w:h="16838"/>
      <w:pgMar w:top="1800" w:right="1440" w:bottom="180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AE0E1">
    <w:pPr>
      <w:pBdr>
        <w:top w:val="single" w:color="DDDDDD" w:sz="4" w:space="4"/>
      </w:pBdr>
      <w:tabs>
        <w:tab w:val="right" w:pos="9026"/>
      </w:tabs>
      <w:spacing w:before="160" w:after="0"/>
    </w:pPr>
    <w:r>
      <w:rPr>
        <w:rFonts w:ascii="Arial" w:hAnsi="Arial" w:eastAsia="Arial" w:cs="Arial"/>
        <w:color w:val="5A5A5A"/>
        <w:sz w:val="18"/>
        <w:szCs w:val="18"/>
      </w:rPr>
      <w:t xml:space="preserve">© 2026 Verdict Protocol  </w:t>
    </w:r>
    <w:r>
      <w:rPr>
        <w:rFonts w:ascii="Arial" w:hAnsi="Arial" w:eastAsia="Arial" w:cs="Arial"/>
        <w:sz w:val="18"/>
        <w:szCs w:val="18"/>
      </w:rPr>
      <w:tab/>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PAGE</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0FA85">
    <w:pPr>
      <w:pBdr>
        <w:bottom w:val="single" w:color="DDDDDD" w:sz="4" w:space="4"/>
      </w:pBdr>
      <w:spacing w:before="0" w:after="160"/>
    </w:pPr>
    <w:r>
      <w:rPr>
        <w:rFonts w:ascii="Arial" w:hAnsi="Arial" w:eastAsia="Arial" w:cs="Arial"/>
        <w:color w:val="5A5A5A"/>
        <w:sz w:val="18"/>
        <w:szCs w:val="18"/>
      </w:rPr>
      <w:t>Verdict Protocol  ·  Product Roadmap &amp;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ACAD7"/>
    <w:multiLevelType w:val="singleLevel"/>
    <w:tmpl w:val="DFFACAD7"/>
    <w:lvl w:ilvl="0" w:tentative="0">
      <w:start w:val="1"/>
      <w:numFmt w:val="decimal"/>
      <w:lvlText w:val="%1."/>
      <w:lvlJc w:val="left"/>
      <w:pPr>
        <w:ind w:left="600" w:hanging="300"/>
      </w:pPr>
    </w:lvl>
  </w:abstractNum>
  <w:abstractNum w:abstractNumId="1">
    <w:nsid w:val="7FFE2B17"/>
    <w:multiLevelType w:val="singleLevel"/>
    <w:tmpl w:val="7FFE2B17"/>
    <w:lvl w:ilvl="0" w:tentative="0">
      <w:start w:val="1"/>
      <w:numFmt w:val="bullet"/>
      <w:lvlText w:val="•"/>
      <w:lvlJc w:val="left"/>
      <w:pPr>
        <w:ind w:left="600" w:hanging="3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BDBE6C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560" w:after="200"/>
      <w:outlineLvl w:val="0"/>
    </w:pPr>
    <w:rPr>
      <w:rFonts w:ascii="Arial" w:hAnsi="Arial" w:eastAsia="Arial" w:cs="Arial"/>
      <w:b/>
      <w:bCs/>
      <w:color w:val="1A1A1A"/>
      <w:sz w:val="36"/>
      <w:szCs w:val="36"/>
    </w:rPr>
  </w:style>
  <w:style w:type="paragraph" w:styleId="3">
    <w:name w:val="heading 2"/>
    <w:next w:val="1"/>
    <w:qFormat/>
    <w:uiPriority w:val="0"/>
    <w:pPr>
      <w:spacing w:before="360" w:after="160"/>
      <w:outlineLvl w:val="1"/>
    </w:pPr>
    <w:rPr>
      <w:rFonts w:ascii="Arial" w:hAnsi="Arial" w:eastAsia="Arial" w:cs="Arial"/>
      <w:b/>
      <w:bCs/>
      <w:color w:val="1A1A1A"/>
      <w:sz w:val="28"/>
      <w:szCs w:val="28"/>
    </w:rPr>
  </w:style>
  <w:style w:type="paragraph" w:styleId="4">
    <w:name w:val="heading 3"/>
    <w:next w:val="1"/>
    <w:qFormat/>
    <w:uiPriority w:val="0"/>
    <w:pPr>
      <w:spacing w:before="240" w:after="100"/>
      <w:outlineLvl w:val="2"/>
    </w:pPr>
    <w:rPr>
      <w:rFonts w:ascii="Arial" w:hAnsi="Arial" w:eastAsia="Arial" w:cs="Arial"/>
      <w:b/>
      <w:bCs/>
      <w:color w:val="C0392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1</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Zhuanz</cp:lastModifiedBy>
  <dcterms:modified xsi:type="dcterms:W3CDTF">2026-05-29T13:12:40Z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2FD62193CCFF8F674820196A9C428A18_42</vt:lpwstr>
  </property>
</Properties>
</file>