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网站维护服务范围</w:t>
      </w:r>
    </w:p>
    <w:p>
      <w:pPr>
        <w:pStyle w:val="Subtitle"/>
      </w:pPr>
      <w:r>
        <w:t>虚构测试场景</w:t>
      </w:r>
    </w:p>
    <w:p>
      <w:r>
        <w:t>本说明列明网站维护的服务内容与范围边界。</w:t>
      </w:r>
    </w:p>
    <w:p>
      <w:pPr>
        <w:pStyle w:val="Heading1"/>
      </w:pPr>
      <w:r>
        <w:t>包含的服务</w:t>
      </w:r>
    </w:p>
    <w:p>
      <w:r>
        <w:t>内容更新。</w:t>
      </w:r>
    </w:p>
    <w:p>
      <w:r>
        <w:t>依赖检查：每月一次。</w:t>
      </w:r>
    </w:p>
    <w:p>
      <w:pPr>
        <w:pStyle w:val="Heading1"/>
      </w:pPr>
      <w:r>
        <w:t>不包含的服务</w:t>
      </w:r>
    </w:p>
    <w:p>
      <w:r>
        <w:t>新功能开发不在本维护范围内。</w:t>
      </w:r>
    </w:p>
    <w:p>
      <w:pPr>
        <w:pStyle w:val="Heading1"/>
      </w:pPr>
      <w:r>
        <w:t>紧急故障</w:t>
      </w:r>
    </w:p>
    <w:p>
      <w:r>
        <w:t>紧急故障优先排查，未承诺响应时间。</w:t>
      </w:r>
    </w:p>
    <w:p>
      <w:pPr>
        <w:pStyle w:val="Heading1"/>
      </w:pPr>
      <w:r>
        <w:t>商务信息</w:t>
      </w:r>
    </w:p>
    <w:p>
      <w:r>
        <w:t>本说明未列明报价和签约日期。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60"/>
    </w:pPr>
    <w:rPr>
      <w:rFonts w:ascii="Microsoft YaHei" w:hAnsi="Microsoft YaHei" w:eastAsia="Microsoft YaHei" w:cs="Microsoft YaHe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="Microsoft YaHei" w:hAnsi="Microsoft YaHei" w:eastAsia="Microsoft YaHei" w:cs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Microsoft YaHei" w:hAnsi="Microsoft YaHei" w:eastAsia="Microsoft YaHei" w:cs="Microsoft YaHe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Microsoft YaHei" w:hAnsi="Microsoft YaHei" w:eastAsia="Microsoft YaHei" w:cs="Microsoft YaHe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网站维护服务范围</dc:title>
  <dc:subject>虚构测试场景</dc:subject>
  <dc:creator>deai-studio format proof</dc:creator>
  <cp:keywords>fictional, format proof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