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72"/>
          <w:szCs w:val="72"/>
        </w:rPr>
      </w:pPr>
      <w:bookmarkStart w:colFirst="0" w:colLast="0" w:name="_6euykrgo99w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Genetics &amp; Endocrinology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bookmarkStart w:colFirst="0" w:colLast="0" w:name="_niu4dxx58xw8" w:id="1"/>
      <w:bookmarkEnd w:id="1"/>
      <w:r w:rsidDel="00000000" w:rsidR="00000000" w:rsidRPr="00000000">
        <w:rPr>
          <w:color w:val="999999"/>
          <w:sz w:val="28"/>
          <w:szCs w:val="28"/>
          <w:rtl w:val="0"/>
        </w:rPr>
        <w:t xml:space="preserve">Hypoglycemia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28"/>
          <w:szCs w:val="28"/>
          <w:rtl w:val="0"/>
        </w:rPr>
        <w:t xml:space="preserve">Hyperglycemia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28"/>
          <w:szCs w:val="28"/>
          <w:rtl w:val="0"/>
        </w:rPr>
        <w:t xml:space="preserve">Hypocalcemia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28"/>
          <w:szCs w:val="28"/>
          <w:rtl w:val="0"/>
        </w:rPr>
        <w:t xml:space="preserve">Hypomagnesemia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28"/>
          <w:szCs w:val="28"/>
          <w:rtl w:val="0"/>
        </w:rPr>
        <w:t xml:space="preserve">Hyperkalemia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28"/>
          <w:szCs w:val="28"/>
          <w:rtl w:val="0"/>
        </w:rPr>
        <w:t xml:space="preserve">Hyponatremia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28"/>
          <w:szCs w:val="28"/>
          <w:rtl w:val="0"/>
        </w:rPr>
        <w:t xml:space="preserve">Late Metabolic Acidosis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28"/>
          <w:szCs w:val="28"/>
          <w:rtl w:val="0"/>
        </w:rPr>
        <w:t xml:space="preserve">Metabolic Acidosis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28"/>
          <w:szCs w:val="28"/>
          <w:rtl w:val="0"/>
        </w:rPr>
        <w:t xml:space="preserve">Infant of Diabetic mother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bookmarkStart w:colFirst="0" w:colLast="0" w:name="_3r3l806zki3x" w:id="2"/>
      <w:bookmarkEnd w:id="2"/>
      <w:r w:rsidDel="00000000" w:rsidR="00000000" w:rsidRPr="00000000">
        <w:rPr>
          <w:color w:val="999999"/>
          <w:sz w:val="28"/>
          <w:szCs w:val="28"/>
          <w:rtl w:val="0"/>
        </w:rPr>
        <w:t xml:space="preserve">Metabolic Bone Disease of Prematurity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28"/>
          <w:szCs w:val="28"/>
          <w:rtl w:val="0"/>
        </w:rPr>
        <w:t xml:space="preserve">Thyroid disorder   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28"/>
          <w:szCs w:val="28"/>
          <w:rtl w:val="0"/>
        </w:rPr>
        <w:t xml:space="preserve">CAH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28"/>
          <w:szCs w:val="28"/>
          <w:rtl w:val="0"/>
        </w:rPr>
        <w:t xml:space="preserve">Carnitine deficiency interpretation and supplement dose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67"/>
        </w:tabs>
        <w:spacing w:before="120" w:lineRule="auto"/>
        <w:ind w:left="425.19685039370086" w:firstLine="1417.3228346456688"/>
        <w:rPr>
          <w:color w:val="999999"/>
          <w:sz w:val="28"/>
          <w:szCs w:val="28"/>
        </w:rPr>
      </w:pPr>
      <w:bookmarkStart w:colFirst="0" w:colLast="0" w:name="_feg9cf8isju2" w:id="3"/>
      <w:bookmarkEnd w:id="3"/>
      <w:r w:rsidDel="00000000" w:rsidR="00000000" w:rsidRPr="00000000">
        <w:rPr>
          <w:rFonts w:ascii="Gungsuh" w:cs="Gungsuh" w:eastAsia="Gungsuh" w:hAnsi="Gungsuh"/>
          <w:color w:val="999999"/>
          <w:sz w:val="28"/>
          <w:szCs w:val="28"/>
          <w:rtl w:val="0"/>
        </w:rPr>
        <w:t xml:space="preserve">急性新生兒高血氨處理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283847</wp:posOffset>
                </wp:positionH>
                <wp:positionV relativeFrom="margin">
                  <wp:posOffset>7157721</wp:posOffset>
                </wp:positionV>
                <wp:extent cx="5618480" cy="1730264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55810" y="2938625"/>
                          <a:ext cx="5580380" cy="1682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40.000019073486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如果遇到一出生後急救無效的Newborn，極度懷疑有Genetic的問題時，如果來不及consult，可先留以下檢體 (各3-5ml)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0.0000190734863"/>
                              <w:ind w:left="200" w:right="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大綠頭管 (含Sodium的heparin管，無Agar)：1管，3-5ml，for 染色體，不冰。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0.0000190734863"/>
                              <w:ind w:left="200" w:right="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EDTA管 (紫頭大管)：2管, 可以依病人需求作不同的基因檢查，可冰可不冰。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0.0000190734863"/>
                              <w:ind w:left="200" w:right="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icrosoft JhengHei" w:cs="Microsoft JhengHei" w:eastAsia="Microsoft JhengHei" w:hAnsi="Microsoft JhengHe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從NI-15櫃拿採檢刷(組)，往咽喉部或口腔內側臉頰各上下來回刷取數次採檢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icrosoft JhengHei" w:cs="Microsoft JhengHei" w:eastAsia="Microsoft JhengHei" w:hAnsi="Microsoft JhengHe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以上檢查皆為自費項目，染色體是＄3500，基因檢查則依項目種類不同而不同。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283847</wp:posOffset>
                </wp:positionH>
                <wp:positionV relativeFrom="margin">
                  <wp:posOffset>7157721</wp:posOffset>
                </wp:positionV>
                <wp:extent cx="5618480" cy="1730264"/>
                <wp:effectExtent b="0" l="0" r="0" t="0"/>
                <wp:wrapSquare wrapText="bothSides" distB="0" distT="0" distL="114300" distR="11430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8480" cy="17302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566" w:right="0" w:hanging="56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Hypoglycemia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shd w:fill="auto" w:val="clear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 blood sugar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 </w:t>
      </w:r>
      <w:r w:rsidDel="00000000" w:rsidR="00000000" w:rsidRPr="00000000">
        <w:rPr>
          <w:shd w:fill="d9d9d9" w:val="clear"/>
          <w:rtl w:val="0"/>
        </w:rPr>
        <w:t xml:space="preserve">&lt;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40 mg/dL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 term or premature infant.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9" w:right="0" w:hanging="480"/>
        <w:jc w:val="left"/>
        <w:rPr/>
      </w:pPr>
      <w:r w:rsidDel="00000000" w:rsidR="00000000" w:rsidRPr="00000000">
        <w:rPr>
          <w:rtl w:val="0"/>
        </w:rPr>
        <w:t xml:space="preserve">Newborn &lt; 48 h/o: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50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mg/dL ; ≧ 48 h/o: 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60 </w:t>
      </w:r>
      <w:r w:rsidDel="00000000" w:rsidR="00000000" w:rsidRPr="00000000">
        <w:rPr>
          <w:rtl w:val="0"/>
        </w:rPr>
        <w:t xml:space="preserve">mg/dL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9" w:right="0" w:hanging="480"/>
        <w:jc w:val="left"/>
        <w:rPr/>
      </w:pPr>
      <w:r w:rsidDel="00000000" w:rsidR="00000000" w:rsidRPr="00000000">
        <w:rPr>
          <w:rtl w:val="0"/>
        </w:rPr>
        <w:t xml:space="preserve">For permanent hypoglycemia: 70 mg/dL (</w:t>
      </w:r>
      <w:r w:rsidDel="00000000" w:rsidR="00000000" w:rsidRPr="00000000">
        <w:rPr>
          <w:sz w:val="22"/>
          <w:szCs w:val="22"/>
          <w:rtl w:val="0"/>
        </w:rPr>
        <w:t xml:space="preserve">Turk Pediatri Ars. 2018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presentations:</w:t>
      </w:r>
    </w:p>
    <w:tbl>
      <w:tblPr>
        <w:tblStyle w:val="Table1"/>
        <w:tblW w:w="8976.0" w:type="dxa"/>
        <w:jc w:val="left"/>
        <w:tblInd w:w="28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11"/>
        <w:gridCol w:w="4865"/>
        <w:tblGridChange w:id="0">
          <w:tblGrid>
            <w:gridCol w:w="4111"/>
            <w:gridCol w:w="486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Lethargy, apathy and limpness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Tremor or jitteriness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Apnea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Cyanosis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Seizure, coma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Weak or high-pitched cry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 feeding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Asymptomatic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小嬰孩和慢性病童其肝醣貯藏能力有限，且損失快速,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risk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infants include: </w:t>
      </w:r>
      <w:r w:rsidDel="00000000" w:rsidR="00000000" w:rsidRPr="00000000">
        <w:rPr>
          <w:rtl w:val="0"/>
        </w:rPr>
        <w:t xml:space="preserve">preterm,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SGA, twins, IDM, infants of eclampsia and preeclampsia mother and critically ill infants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Differential diagnosis:</w:t>
      </w:r>
    </w:p>
    <w:tbl>
      <w:tblPr>
        <w:tblStyle w:val="Table2"/>
        <w:tblW w:w="9465.0" w:type="dxa"/>
        <w:jc w:val="left"/>
        <w:tblInd w:w="28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05"/>
        <w:gridCol w:w="2010"/>
        <w:gridCol w:w="4650"/>
        <w:tblGridChange w:id="0">
          <w:tblGrid>
            <w:gridCol w:w="2805"/>
            <w:gridCol w:w="2010"/>
            <w:gridCol w:w="46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Adrenal insufficiency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Maternal drug use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Heart disease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Renal failure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Liver failure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567" w:right="0" w:hanging="28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CNS disorder</w:t>
            </w:r>
          </w:p>
        </w:tc>
        <w:tc>
          <w:tcPr/>
          <w:p w:rsidR="00000000" w:rsidDel="00000000" w:rsidP="00000000" w:rsidRDefault="00000000" w:rsidRPr="00000000" w14:paraId="00000040">
            <w:pPr>
              <w:numPr>
                <w:ilvl w:val="1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40" w:lineRule="auto"/>
              <w:ind w:left="567" w:hanging="28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Metabolic abnormalities：hypocalcemia, hyponatremia or hypernatremia, hypomagnesemia, pyridoxine deficiency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  <w:t xml:space="preserve">Screening and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Well neonates</w:t>
      </w:r>
      <w:r w:rsidDel="00000000" w:rsidR="00000000" w:rsidRPr="00000000">
        <w:rPr>
          <w:rtl w:val="0"/>
        </w:rPr>
        <w:t xml:space="preserve"> (term or late premature, e.g. 33-36 wks) who are at risk for hypoglycemia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2"/>
        </w:numPr>
        <w:spacing w:line="340" w:lineRule="auto"/>
        <w:ind w:left="1276" w:hanging="284.00000000000006"/>
        <w:rPr/>
      </w:pPr>
      <w:r w:rsidDel="00000000" w:rsidR="00000000" w:rsidRPr="00000000">
        <w:rPr>
          <w:rtl w:val="0"/>
        </w:rPr>
        <w:t xml:space="preserve">Monitor blood glucose level </w:t>
      </w:r>
      <w:r w:rsidDel="00000000" w:rsidR="00000000" w:rsidRPr="00000000">
        <w:rPr>
          <w:color w:val="ff0000"/>
          <w:rtl w:val="0"/>
        </w:rPr>
        <w:t xml:space="preserve">at birth + Q6H for 24h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8"/>
        </w:numPr>
        <w:spacing w:line="340" w:lineRule="auto"/>
        <w:ind w:left="992.1259842519685" w:hanging="283.46456692913375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原則：Newborn hypoglycemia 應先調整SIR，必要時應先set central line!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2"/>
        </w:numPr>
        <w:spacing w:line="340" w:lineRule="auto"/>
        <w:ind w:left="1276" w:hanging="284.00000000000006"/>
        <w:rPr>
          <w:b w:val="1"/>
          <w:bCs w:val="1"/>
        </w:rPr>
      </w:pPr>
      <w:bookmarkStart w:colFirst="0" w:colLast="0" w:name="_mrhewxjr5xt2" w:id="4"/>
      <w:bookmarkEnd w:id="4"/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吃的跟打的SIR請分開算！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2"/>
        </w:numPr>
        <w:spacing w:line="340" w:lineRule="auto"/>
        <w:ind w:left="1276" w:hanging="284.00000000000006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高濃度之glucose (eg.D25W or D50W)為高張力、高滲透壓，可使週遭靜脈硬化。中央靜脈所能承受之最高濃度為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25%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，周邊勿超過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12.5%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8"/>
        </w:numPr>
        <w:spacing w:line="340" w:lineRule="auto"/>
        <w:ind w:left="992.1259842519685" w:hanging="283.46456692913375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Asymptomatic</w:t>
      </w:r>
      <w:r w:rsidDel="00000000" w:rsidR="00000000" w:rsidRPr="00000000">
        <w:rPr>
          <w:rtl w:val="0"/>
        </w:rPr>
        <w:t xml:space="preserve">” hypoglycemia</w:t>
      </w:r>
    </w:p>
    <w:p w:rsidR="00000000" w:rsidDel="00000000" w:rsidP="00000000" w:rsidRDefault="00000000" w:rsidRPr="00000000" w14:paraId="00000048">
      <w:pPr>
        <w:numPr>
          <w:ilvl w:val="0"/>
          <w:numId w:val="95"/>
        </w:numPr>
        <w:spacing w:line="340" w:lineRule="auto"/>
        <w:ind w:left="1440" w:hanging="360"/>
        <w:rPr/>
      </w:pPr>
      <w:bookmarkStart w:colFirst="0" w:colLast="0" w:name="_2n8iiveb1ttf" w:id="5"/>
      <w:bookmarkEnd w:id="5"/>
      <w:r w:rsidDel="00000000" w:rsidR="00000000" w:rsidRPr="00000000">
        <w:rPr>
          <w:rFonts w:ascii="Gungsuh" w:cs="Gungsuh" w:eastAsia="Gungsuh" w:hAnsi="Gungsuh"/>
          <w:rtl w:val="0"/>
        </w:rPr>
        <w:t xml:space="preserve">可餵食者：Early oral or gavage feeding with D10W or milk q 2 - 4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5"/>
        </w:numPr>
        <w:spacing w:line="340" w:lineRule="auto"/>
        <w:ind w:left="1440" w:hanging="360"/>
        <w:rPr/>
      </w:pPr>
      <w:bookmarkStart w:colFirst="0" w:colLast="0" w:name="_mhatheyhplib" w:id="6"/>
      <w:bookmarkEnd w:id="6"/>
      <w:r w:rsidDel="00000000" w:rsidR="00000000" w:rsidRPr="00000000">
        <w:rPr>
          <w:rFonts w:ascii="Gungsuh" w:cs="Gungsuh" w:eastAsia="Gungsuh" w:hAnsi="Gungsuh"/>
          <w:rtl w:val="0"/>
        </w:rPr>
        <w:t xml:space="preserve">NPO者：give IVF supplement, keep SIR: 4-6 mg/kg/min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5"/>
        </w:numPr>
        <w:spacing w:line="340" w:lineRule="auto"/>
        <w:ind w:left="1440" w:hanging="360"/>
        <w:rPr/>
      </w:pPr>
      <w:r w:rsidDel="00000000" w:rsidR="00000000" w:rsidRPr="00000000">
        <w:rPr>
          <w:rtl w:val="0"/>
        </w:rPr>
        <w:t xml:space="preserve">Recheck 30mins later and adjust SIR until Dex &gt; 60 mg/dL </w:t>
      </w:r>
    </w:p>
    <w:p w:rsidR="00000000" w:rsidDel="00000000" w:rsidP="00000000" w:rsidRDefault="00000000" w:rsidRPr="00000000" w14:paraId="0000004B">
      <w:pPr>
        <w:numPr>
          <w:ilvl w:val="0"/>
          <w:numId w:val="95"/>
        </w:numPr>
        <w:spacing w:line="340" w:lineRule="auto"/>
        <w:ind w:left="1440" w:hanging="360"/>
        <w:rPr/>
      </w:pPr>
      <w:r w:rsidDel="00000000" w:rsidR="00000000" w:rsidRPr="00000000">
        <w:rPr>
          <w:rtl w:val="0"/>
        </w:rPr>
        <w:t xml:space="preserve">Check Dex q6h until stable</w:t>
      </w:r>
    </w:p>
    <w:p w:rsidR="00000000" w:rsidDel="00000000" w:rsidP="00000000" w:rsidRDefault="00000000" w:rsidRPr="00000000" w14:paraId="0000004C">
      <w:pPr>
        <w:numPr>
          <w:ilvl w:val="1"/>
          <w:numId w:val="28"/>
        </w:numPr>
        <w:spacing w:line="340" w:lineRule="auto"/>
        <w:ind w:left="992.1259842519685" w:hanging="283.46456692913375"/>
        <w:rPr/>
      </w:pPr>
      <w:r w:rsidDel="00000000" w:rsidR="00000000" w:rsidRPr="00000000">
        <w:rPr>
          <w:rtl w:val="0"/>
        </w:rPr>
        <w:t xml:space="preserve">Infants with "</w:t>
      </w:r>
      <w:r w:rsidDel="00000000" w:rsidR="00000000" w:rsidRPr="00000000">
        <w:rPr>
          <w:b w:val="1"/>
          <w:bCs w:val="1"/>
          <w:rtl w:val="0"/>
        </w:rPr>
        <w:t xml:space="preserve">symptomatic</w:t>
      </w:r>
      <w:r w:rsidDel="00000000" w:rsidR="00000000" w:rsidRPr="00000000">
        <w:rPr>
          <w:rtl w:val="0"/>
        </w:rPr>
        <w:t xml:space="preserve">" hypoglycemia</w:t>
      </w:r>
    </w:p>
    <w:p w:rsidR="00000000" w:rsidDel="00000000" w:rsidP="00000000" w:rsidRDefault="00000000" w:rsidRPr="00000000" w14:paraId="0000004D">
      <w:pPr>
        <w:numPr>
          <w:ilvl w:val="0"/>
          <w:numId w:val="52"/>
        </w:numPr>
        <w:spacing w:line="340" w:lineRule="auto"/>
        <w:ind w:left="1276" w:hanging="284.00000000000006"/>
        <w:rPr/>
      </w:pPr>
      <w:r w:rsidDel="00000000" w:rsidR="00000000" w:rsidRPr="00000000">
        <w:rPr>
          <w:rtl w:val="0"/>
        </w:rPr>
        <w:t xml:space="preserve">Monitor blood glucose level q 1 hr to q 4hr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2"/>
        </w:numPr>
        <w:spacing w:line="340" w:lineRule="auto"/>
        <w:ind w:left="1276" w:hanging="284.00000000000006"/>
        <w:rPr/>
      </w:pPr>
      <w:r w:rsidDel="00000000" w:rsidR="00000000" w:rsidRPr="00000000">
        <w:rPr>
          <w:b w:val="1"/>
          <w:bCs w:val="1"/>
          <w:shd w:fill="d9d9d9" w:val="clear"/>
          <w:rtl w:val="0"/>
        </w:rPr>
        <w:t xml:space="preserve">D10W 2ml/kg 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tl w:val="0"/>
        </w:rPr>
        <w:t xml:space="preserve">0.2 g/kg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color w:val="ff0000"/>
          <w:rtl w:val="0"/>
        </w:rPr>
        <w:t xml:space="preserve">over 20 min</w:t>
      </w:r>
      <w:r w:rsidDel="00000000" w:rsidR="00000000" w:rsidRPr="00000000">
        <w:rPr>
          <w:rtl w:val="0"/>
        </w:rPr>
        <w:t xml:space="preserve">, followed by an infusion of 8 mg/kg/min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2"/>
        </w:numPr>
        <w:spacing w:line="340" w:lineRule="auto"/>
        <w:ind w:left="1276" w:hanging="284.00000000000006"/>
        <w:rPr/>
      </w:pPr>
      <w:r w:rsidDel="00000000" w:rsidR="00000000" w:rsidRPr="00000000">
        <w:rPr>
          <w:rtl w:val="0"/>
        </w:rPr>
        <w:t xml:space="preserve">Glucose infusion for maintenance provide adequate glucose infusion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8"/>
        </w:numPr>
        <w:spacing w:line="340" w:lineRule="auto"/>
        <w:ind w:left="992.1259842519685" w:hanging="283.46456692913375"/>
        <w:rPr/>
      </w:pPr>
      <w:r w:rsidDel="00000000" w:rsidR="00000000" w:rsidRPr="00000000">
        <w:rPr>
          <w:rtl w:val="0"/>
        </w:rPr>
        <w:t xml:space="preserve">Asphyxiated infants</w:t>
      </w:r>
    </w:p>
    <w:p w:rsidR="00000000" w:rsidDel="00000000" w:rsidP="00000000" w:rsidRDefault="00000000" w:rsidRPr="00000000" w14:paraId="00000051">
      <w:pPr>
        <w:numPr>
          <w:ilvl w:val="0"/>
          <w:numId w:val="52"/>
        </w:numPr>
        <w:spacing w:line="340" w:lineRule="auto"/>
        <w:ind w:left="1276" w:hanging="284.00000000000006"/>
        <w:rPr/>
      </w:pPr>
      <w:r w:rsidDel="00000000" w:rsidR="00000000" w:rsidRPr="00000000">
        <w:rPr>
          <w:rtl w:val="0"/>
        </w:rPr>
        <w:t xml:space="preserve">Parenteral glucose administration may be through the umbilical vein (avoid a rapid bolus of conc. glucose solution and to ensure proper placement of the catheter)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40" w:lineRule="auto"/>
        <w:ind w:left="14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40" w:lineRule="auto"/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15368" cy="371668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368" cy="3716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40" w:lineRule="auto"/>
        <w:ind w:left="0" w:firstLine="72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40" w:lineRule="auto"/>
        <w:ind w:left="0" w:firstLine="72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When refractory to continuous SIR &gt; 12-15 mg/kg/min, can try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Glucagon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5.5905511811022" w:right="0" w:hanging="283.4645669291337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0.05mg/kg IM / IV (</w:t>
      </w:r>
      <w:r w:rsidDel="00000000" w:rsidR="00000000" w:rsidRPr="00000000">
        <w:rPr>
          <w:rtl w:val="0"/>
        </w:rPr>
        <w:t xml:space="preserve">0.025-0.3 mg/kg/dose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  <w:t xml:space="preserve"> Max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mg), </w:t>
      </w:r>
      <w:r w:rsidDel="00000000" w:rsidR="00000000" w:rsidRPr="00000000">
        <w:rPr>
          <w:rtl w:val="0"/>
        </w:rPr>
        <w:t xml:space="preserve">can repeat in 20 min PRN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Hydrocortisone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Solucortef, </w:t>
      </w:r>
      <w:r w:rsidDel="00000000" w:rsidR="00000000" w:rsidRPr="00000000">
        <w:rPr>
          <w:sz w:val="22"/>
          <w:szCs w:val="22"/>
          <w:rtl w:val="0"/>
        </w:rPr>
        <w:t xml:space="preserve">100mg/via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5.5905511811022" w:right="0" w:hanging="283.46456692913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5mg/kg/day q8h~q12h or 1~2 mg/kg/dose q6h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48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(Reference: Pediatric dosage handbook with international trade names index, 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0"/>
          <w:szCs w:val="20"/>
          <w:u w:val="none"/>
          <w:shd w:fill="auto" w:val="clear"/>
          <w:vertAlign w:val="baseline"/>
          <w:rtl w:val="0"/>
        </w:rPr>
        <w:t xml:space="preserve"> edition, p.628)</w:t>
      </w:r>
    </w:p>
    <w:p w:rsidR="00000000" w:rsidDel="00000000" w:rsidP="00000000" w:rsidRDefault="00000000" w:rsidRPr="00000000" w14:paraId="0000005B">
      <w:pPr>
        <w:spacing w:line="340" w:lineRule="auto"/>
        <w:ind w:left="669" w:firstLine="0"/>
        <w:rPr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480"/>
        <w:jc w:val="right"/>
        <w:rPr>
          <w:color w:val="999999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新生兒低血糖懷疑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Hyperinsulinemia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處理流程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-4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科內快速鍵#GLUCATI                                                                                      2019/07 修訂by endocrine李翊誠醫師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284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Dex 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mg/dL x2 次 (Ex: 發現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mg/dL時立即測另一隻腳若也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mg/dL)請做critical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284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 check serum glucose, insulin, C-peptide, blood ketone, Free T4, TSH, </w:t>
        <w:br w:type="textWrapping"/>
        <w:t xml:space="preserve">growth hormone(HGH), ACTH, cortisol, blood gas, NH3(Ammonia), lactate, pyruvate, urine and blood amino acid analysis, and urine organic acid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05475" cy="4442375"/>
            <wp:effectExtent b="0" l="0" r="0" t="0"/>
            <wp:docPr descr="Picture 1" id="5" name="image2.png"/>
            <a:graphic>
              <a:graphicData uri="http://schemas.openxmlformats.org/drawingml/2006/picture">
                <pic:pic>
                  <pic:nvPicPr>
                    <pic:cNvPr descr="Picture 1" id="0" name="image2.png"/>
                    <pic:cNvPicPr preferRelativeResize="0"/>
                  </pic:nvPicPr>
                  <pic:blipFill>
                    <a:blip r:embed="rId8"/>
                    <a:srcRect b="10179" l="18420" r="20899" t="3072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44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284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必要時請on A line並同時執行 &lt;&lt; Glucagon stimulation test 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Administer _ mg glucagon IV push (Glucagon 0.05mg/kg)</w:t>
        <w:br w:type="textWrapping"/>
        <w:t xml:space="preserve">給予後請再 push N/S，以確保glucagon 確實進入患者體內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 line for glucagon test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Glucagon IV and monitor glucose every 10 min for 40 min. </w:t>
      </w:r>
    </w:p>
    <w:tbl>
      <w:tblPr>
        <w:tblStyle w:val="Table3"/>
        <w:tblW w:w="938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460"/>
        <w:gridCol w:w="1590"/>
        <w:gridCol w:w="1622"/>
        <w:gridCol w:w="1623"/>
        <w:gridCol w:w="1623"/>
        <w:gridCol w:w="1462"/>
        <w:tblGridChange w:id="0">
          <w:tblGrid>
            <w:gridCol w:w="1460"/>
            <w:gridCol w:w="1590"/>
            <w:gridCol w:w="1622"/>
            <w:gridCol w:w="1623"/>
            <w:gridCol w:w="1623"/>
            <w:gridCol w:w="1462"/>
          </w:tblGrid>
        </w:tblGridChange>
      </w:tblGrid>
      <w:tr>
        <w:trPr>
          <w:cantSplit w:val="0"/>
          <w:trHeight w:val="347.779134114583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line="3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40min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Insulin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line="3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line="3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line="3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line="3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Glucose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Dex Q3H (檢查結束後)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3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Dex&gt; 90 mg/dL, decrease IVF A mL/hr; </w:t>
        <w:br w:type="textWrapping"/>
        <w:t xml:space="preserve">請依患者體重，計算SIR增減0.5之滴數作為A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3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Dex between 60-90 mg/dL, keep current IV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3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Dex &lt; 60 mg/dL, increase IVF B mL/hr; </w:t>
        <w:br w:type="textWrapping"/>
        <w:t xml:space="preserve">請依患者體重，計算SIR增減1之滴數作為B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3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Dex &lt; 50 mg/dL, gave D10W ____(2cc/kg) iv push, recheck dex 30min latter, </w:t>
        <w:br w:type="textWrapping"/>
        <w:t xml:space="preserve">if still hypoglycemia may consider add SIR 2 or more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40" w:lineRule="auto"/>
        <w:ind w:left="284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Hypoglycemia時正常人體生理調控機轉如下：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第一步：血糖 &lt;70 mg/dL時insulin分泌要降低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第二步：血糖 &lt;50 mg/dL時counter-regulation hormone (cortisol/GH/glucagon) 開始分解肝醣。Glucagon首先分解肝臟肝醣，cortisol與GH逐步分解肌肉肝醣達到血糖上升之效果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第三步：體內所有醣類耗盡將轉而使用脂肪產生酮體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9679" cy="2766964"/>
            <wp:effectExtent b="0" l="0" r="0" t="0"/>
            <wp:docPr descr="Picture 7" id="4" name="image1.png"/>
            <a:graphic>
              <a:graphicData uri="http://schemas.openxmlformats.org/drawingml/2006/picture">
                <pic:pic>
                  <pic:nvPicPr>
                    <pic:cNvPr descr="Picture 7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679" cy="2766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Hyperinsulinemia病患因為insulin過多，無法開啟低血糖調控三步曲，因此無法產生ketone。脂肪酸代謝異常之病患無法產生ketone，因此也會低血糖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Glucagon要昇糖的前提是肝臟要有足夠的肝醣。所有低血糖的疾病中也只有hyperinsulinemia 打glucagon會有效，因為insulin大量把糖份儲存在肝臟而不用。其他像肝醣儲積症(糖份亂儲存在器官無法使用)、GHD/adrenal insufficiency(無法使用肌肉肝醣)等等疾病使用glucagon不會有明顯效果，反而應該考慮使用solucortef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Criteria for diagnosis of hyperinsulinemia base on critical sample (when dex &lt;50mg/dl):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Hyperinsulinemia (plasm insulin&gt; 2μu/ml)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Hypofatty academia (plasma free fatty acid&lt;1.5mmol/L)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Hypoketonemia (plasma β hydroxybutyrate&lt;2mmol/L)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Inappropriate response to glucagon test (change in glucose &gt;40mg/dl)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284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確診Hyperinsulinemia後應嘗試使用diazoxide做血糖控制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12963" cy="3093730"/>
            <wp:effectExtent b="0" l="0" r="0" t="0"/>
            <wp:docPr descr="圖片 3" id="6" name="image3.jpg"/>
            <a:graphic>
              <a:graphicData uri="http://schemas.openxmlformats.org/drawingml/2006/picture">
                <pic:pic>
                  <pic:nvPicPr>
                    <pic:cNvPr descr="圖片 3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2963" cy="3093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Nutritional treatment of hyperinsulinemia: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Hypertonic glucose infusion(PICC最高可承受22-25%糖水)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每25cc milk可加1g糖飴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formula for glycogen storage disorder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Enteral feeding (via NG of gastrostomy)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Medical treatment for hyperinsulinemia: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Diazoxide(專案藥物申請)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Initial: 10 mg/kg/day orally divided every 8 hours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 Maintenance: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3"/>
          <w:numId w:val="2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12" w:lineRule="auto"/>
        <w:ind w:left="1418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(Neonates) 5 - 15 mg/kg/day, div. Q8H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3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418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(Infants) 5 – 20 mg/kg/day, div. Q8H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3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418" w:right="0" w:hanging="284.00000000000006"/>
        <w:jc w:val="left"/>
        <w:rPr>
          <w:b w:val="0"/>
          <w:bCs w:val="0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 doses to achieve desired clinical and laboratory effects. If not effective within 2 to 3 weeks, then discontinue.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Ref. NeoFax: Diazoxide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副作用fluid retention, hypertrichosis, GI upset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ABCC8, KCNJ11 mutation no response to diazoxide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Glucagon 1-20μg/kg/hr IVD  副作用GI upset, crystallization in infusion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Octreotide 5-25μg/kg/day SC  副作用NEC, Cholelithiasis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Surgical treatment: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Pancreatectomy (total, subtotal, partial) if F-DOPA scan had specific finding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bookmarkStart w:colFirst="0" w:colLast="0" w:name="_un0uz04anyj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97% of focal hyperinsulinemia are cured by pancreatectomy. However, as for the diffuse hyperinsulinemia, 31% were euglycemia, 20% were hyperglycemia and 49% were hypoglycemia even performed total pancreatectomy. 47% of patients who were 10-20 years of age at follow-up had diabetes or DKA.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566" w:right="0" w:hanging="56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Hyperglycemia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Glucose 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&gt; 150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mg/dL on Dextrostix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/>
      </w:pPr>
      <w:r w:rsidDel="00000000" w:rsidR="00000000" w:rsidRPr="00000000">
        <w:rPr>
          <w:color w:val="ff0000"/>
          <w:highlight w:val="white"/>
          <w:rtl w:val="0"/>
        </w:rPr>
        <w:t xml:space="preserve">Clinically important hyperglycemia as Dex </w:t>
      </w:r>
      <w:r w:rsidDel="00000000" w:rsidR="00000000" w:rsidRPr="00000000">
        <w:rPr>
          <w:b w:val="1"/>
          <w:bCs w:val="1"/>
          <w:color w:val="ff0000"/>
          <w:shd w:fill="d9d9d9" w:val="clear"/>
          <w:rtl w:val="0"/>
        </w:rPr>
        <w:t xml:space="preserve">&gt;180 to 200</w:t>
      </w:r>
      <w:r w:rsidDel="00000000" w:rsidR="00000000" w:rsidRPr="00000000">
        <w:rPr>
          <w:color w:val="ff0000"/>
          <w:highlight w:val="white"/>
          <w:rtl w:val="0"/>
        </w:rPr>
        <w:t xml:space="preserve"> mg/dL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Dex &gt; 300~400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mg/dL may result in brain damage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presentations: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Subtle signs of sepsis (e.g. temperature instability, changes in peripheral perfusion or any changes in gastric aspirates if the infants are feeding)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 skin turgor, dehydration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D.D.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Excessive glucose administration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Inability to metabolize glucose: occur with prematurity or secondary to sepsis or stress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Transient neonatal diabetes mellitus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Medications: e.g. maternal use of diazoxide and theophylline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Laboratory studies: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glucose level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Urine dipstick testing for glucose level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CBC/DC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 and urine culture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electrolytes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hyperglycemia may cause osmotic diuresis, which may lead to electrolyte loss and dehydration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 underlying disease (如sepsis)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Decrease glucose infusion rate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use a solution that has a dextrose conc. of less than 4.7%. Such a solution is hypoosmotic and could cause hemolysis, with resulting hyperkalemia.  If a glucose conc. of less than 4.7% is used, electrolytes should be added.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u w:val="none"/>
        </w:rPr>
      </w:pPr>
      <w:bookmarkStart w:colFirst="0" w:colLast="0" w:name="_2piwkzcmqmqy" w:id="8"/>
      <w:bookmarkEnd w:id="8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Insulin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上述治療反應不佳的話才用，一般從低劑量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0.03 IU/kg/hr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開始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566" w:right="0" w:hanging="56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Hypocalcemia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Ca &lt; 7mg/dL(preterm) or &lt; 8mg/dL(term)</w:t>
        <w:br w:type="textWrapping"/>
        <w:t xml:space="preserve">校正 : Ca (mg/dL) = 0.8 x (正常albumin level – 病人albumin level) + serum Ca (mg/dL)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ionized Ca &lt; 3 ~ 4.4 mg/dl or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 &lt; 0.75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~1.1 mmol/L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decrease of 1mg/dl of albumin, a decrease of 0.8mg/dl of calcium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Hypocalcemia associated with the age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neonatal hypocalcemia (during the first 3 days): asymptomatic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 neonatal hypocalcemia (after the first 3 days): symptomatic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factors: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 incidence in premature or sick neonates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infants with poor enteral intake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infants of diabetic mothers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infants stressed during the perinatal period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infants receiving blood transfusion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infants with alkalosis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infants receiving furosemide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infants receiving excessive phosphate intake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infants with insufficient magnesium intake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134" w:right="0" w:hanging="42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infants with congenital hypoparathyroidism (e.g. DiGeorge's syndrome)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presentations: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1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Acute hypocalcemia: apnea, irritability, slight tremors of the extremities, profound tetany, or seizures, cardiac dysfunction characterized by prolonged QT intervals and arrhythmias.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1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Chronic hypocalcemia: rickets characterized by apnea, bone demineralization, elevated alkaline phosphatase levels, and rib, long bone fracture.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Diagnosis: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 level (total and ionized form)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iCa &lt; 3mg/dl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tCa &lt; 6mg/dl or tCa &lt; 7mg/dl with clinical symptoms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Mg level: less than 1.5mg/dL indicate hypomagnesemia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Alkaline phosphatase level: &gt; 225IU/L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phosphate level: &gt; 8mg/dl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EKG monitor: prolonged QT interval or arrhythmias</w:t>
      </w:r>
    </w:p>
    <w:p w:rsidR="00000000" w:rsidDel="00000000" w:rsidP="00000000" w:rsidRDefault="00000000" w:rsidRPr="00000000" w14:paraId="000000DB">
      <w:pPr>
        <w:spacing w:line="3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Replacement therapy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.1259842519685" w:right="0" w:firstLine="0"/>
        <w:jc w:val="left"/>
        <w:rPr/>
      </w:pP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由於肌肉的電刺激，鈣離子由細胞外進入肌漿中。鈣離子包含在內質網，被快速地運用至肌節的肌蛋白纖維，來啟動肌纖維之縮短。因此鈣可增加心臟收縮功能。鈣的增加心縮功能，可藉由其對全身性血管阻力之作用而調節。在正常心臟，鈣加強心收縮力和血管收縮效果，而產生全身性動脈壓之上升。但若於心肌缺氧狀態造成能量不足下，無法將細胞質內之鈣移出，反而會造成毒性影響，另外血中游離鈣之濃度會受血中酸鹼值與血中白蛋白總量所影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1276" w:right="0" w:hanging="284.00000000000006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Calcium carbonate (p.o.) or calcium gluconate (IV)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1276" w:right="0" w:hanging="284.00000000000006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Calcium gluconate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(10%</w:t>
      </w:r>
      <w:r w:rsidDel="00000000" w:rsidR="00000000" w:rsidRPr="00000000">
        <w:rPr>
          <w:rtl w:val="0"/>
        </w:rPr>
        <w:t xml:space="preserve">, 100mg/ml, Sincal /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Calglon)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2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1559.0551181102362" w:right="0" w:hanging="19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適應症：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hypocalcemia, hyperkalemia, hypermagnesemia, CCB劑量過高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2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1559.0551181102362" w:right="0" w:hanging="19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Elemental Ca 9.3 mg/ml=0.465mEq/ml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2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1559.0551181102362" w:right="0" w:hanging="19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Dosage: 1-2ml/kg/dose (速記：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BW+BW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distilled water)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2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1559.0551181102362" w:right="0" w:hanging="19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Slowly infuse, </w:t>
      </w:r>
      <w:r w:rsidDel="00000000" w:rsidR="00000000" w:rsidRPr="00000000">
        <w:rPr>
          <w:b w:val="1"/>
          <w:bCs w:val="1"/>
          <w:rtl w:val="0"/>
        </w:rPr>
        <w:t xml:space="preserve">rate &lt; 0.5mg/min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1276" w:right="0" w:hanging="284.00000000000006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Calcium Chloride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(2%，20mg/ml, Vitacal, 目前限麻醉科急用)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2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1559.0551181102362" w:right="0" w:hanging="19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lowly infuse, not exceeding 50-100mg/min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2"/>
          <w:numId w:val="4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1559.0551181102362" w:right="0" w:hanging="19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osage: 1 ml/kg (速記:BW+BW)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43"/>
        </w:numPr>
        <w:spacing w:line="276" w:lineRule="auto"/>
        <w:ind w:left="992.1259842519685" w:hanging="283.46456692913375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注意事項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69"/>
        </w:numPr>
        <w:spacing w:line="276" w:lineRule="auto"/>
        <w:ind w:left="1275.5905511811022" w:hanging="283.46456692913375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重覆給藥前需確定血中游離鈣濃度，否則可能會增加致病率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69"/>
        </w:numPr>
        <w:spacing w:line="276" w:lineRule="auto"/>
        <w:ind w:left="1275.5905511811022" w:hanging="283.46456692913375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給藥時需監測 HR, 注射過速會引發 bradycardia ，尤其是服用 digoxin 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69"/>
        </w:numPr>
        <w:spacing w:line="276" w:lineRule="auto"/>
        <w:ind w:left="1275.5905511811022" w:hanging="283.46456692913375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shd w:fill="d9d9d9" w:val="clear"/>
          <w:rtl w:val="0"/>
        </w:rPr>
        <w:t xml:space="preserve">不可併用 Sodium bicarbonate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，會引起沉澱，易使週遭靜脈血管硬化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69"/>
        </w:numPr>
        <w:spacing w:line="276" w:lineRule="auto"/>
        <w:ind w:left="1275.5905511811022" w:hanging="283.46456692913375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給藥前要確認 IV line function 是否順, 否則可能會 extravasation of calcium, and cause skin sloughs, tissue necrosis, and subcutaneous calcium deposition endangering joint contracture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69"/>
        </w:numPr>
        <w:spacing w:line="276" w:lineRule="auto"/>
        <w:ind w:left="1275.5905511811022" w:hanging="283.46456692913375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Calcinosis cutis: 形成原因不明。有時候在非輸注處也會形成。治療方式為局部塗抹 </w:t>
      </w:r>
      <w:r w:rsidDel="00000000" w:rsidR="00000000" w:rsidRPr="00000000">
        <w:rPr>
          <w:b w:val="1"/>
          <w:bCs w:val="1"/>
          <w:rtl w:val="0"/>
        </w:rPr>
        <w:t xml:space="preserve">Uburn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(Silver sulfadiazine)。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76" w:lineRule="auto"/>
        <w:ind w:left="566" w:right="0" w:hanging="56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Hypomagnesemia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MgSO4 (10%, Mg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16mEq/20ml, 100mg/ml)</w:t>
        <w:br w:type="textWrapping"/>
        <w:t xml:space="preserve">1,000 mg of magnesium sulfate = 98.6 mg elemental magnesium = 8.12 mEq magnesium </w:t>
        <w:br w:type="textWrapping"/>
        <w:t xml:space="preserve">= 4.06 mmol magnesium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&lt;1.6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mg/dl, or seizure attack with hypomagnesemia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MgSO4 50-100mg/kg/dose over 1-2 hours, maybe repeat in 12 hours if necessary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Dilute with D5W, D10W, or N/S to a concentration of 0.5mEq/ml (建議至少1:1稀釋)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(速記：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BW/2+BW/2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(2021 增修)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Bolus infusion over 1-4 hours: not exceed 1mEq/kg/hr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Prevention of metabolic bone disease in prematurities especially in the index cases of long term malnutrition or exclusively </w:t>
      </w:r>
      <w:r w:rsidDel="00000000" w:rsidR="00000000" w:rsidRPr="00000000">
        <w:rPr>
          <w:rtl w:val="0"/>
        </w:rPr>
        <w:t xml:space="preserve">breastfeeding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without fortifier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2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"healthy" VLBW infants：Ca 100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mg/kg/day, P 50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mg/kg/day, Vit D 400 IU/day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2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"ill” VLBW infants: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2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Parenteral nutrition for extended period: Ca 30 - 40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mg/kg/day, P 40mg/kg/day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2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bookmarkStart w:colFirst="0" w:colLast="0" w:name="_jj3klwpuf1o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Oral intake: Ca 130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mg/kg/day, P 65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mg/kg/day, Vit D 1000 IU/day</w:t>
      </w:r>
    </w:p>
    <w:p w:rsidR="00000000" w:rsidDel="00000000" w:rsidP="00000000" w:rsidRDefault="00000000" w:rsidRPr="00000000" w14:paraId="000000FA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566" w:right="0" w:hanging="56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Hyperkalemia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  Serum K &gt; 5.5mEq/dl (normal potassium levels are 3.5 - 5.5mEq/dl); symptomatic hyperkalemia may begin at a serum K level &gt;6 mEq/L.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(Reference: Manual of Neonatal Care, 7 th edition, p279)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presentations: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EKG changes: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2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sign : tall, "tented" T waves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2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 sign : wide QRS complex; wide, flat P waves, ventricular tachycardia, ventricular fibrillation or cardiac arrest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Diagnosis: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K level: microelectrode method as follow-up, central blood sampling via arterial line or UAC to confirm the accurate level of serum potassium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ionized and total Ca levels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pH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BUN and Cr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Urine specific gravity to assess renal status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EKG monitor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換點滴：Shift to potassium-free IVF (D5W or D10 W)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降血鉀：Ventolin inhaler 1-2 puff q6h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保護心臟：Give Sincal for cardiac protection (VT)</w:t>
        <w:br w:type="textWrapping"/>
        <w:t xml:space="preserve">Ca. gluconate (10%): 0.5mEq/kg=1ml/kg  IV over 2-4min. Be careful about bradycardia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Ventolin + Sincal可以於以下情形開始使用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2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BW ≤ 1000g, K ≥ 5.5 mEq/dL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2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BW &gt; 1000g, K ≥ 6.5 mEq/dL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acidosis: NaHCO3-2.5mg/kg (approx 3mg/kg) by slow push or rapid drip.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+Glucose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2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Indication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9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1560" w:right="0" w:hanging="283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K level with EKG change due to hyperkalemia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9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1560" w:right="0" w:hanging="283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須先確認此檢體為 central serum potassium without hemolysis </w:t>
        <w:br w:type="textWrapping"/>
        <w:t xml:space="preserve">如果有以下情形，必須立刻使用glucose plus insulin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3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843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BW ≤ 1000g, K ≥ 6.0 mEq/dL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3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843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BW &gt; 1000g, K ≥ 7.0 mEq/dL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2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continuous infusion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auto" w:val="clear"/>
        <w:spacing w:after="120" w:before="120" w:line="3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BW*100U in D10W 500 c.c., 1ml/hr=0.2 U/kg/hr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auto" w:val="clear"/>
        <w:spacing w:after="120" w:before="120" w:line="3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可從0.1U/kg/hr開始run, 最高可</w:t>
      </w: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⽤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0.6 U/kg/hour以達到降低K效果(2020修)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須配合當時的體重、fluid status、glucose level、IVF、SIR及病人狀況綜合評估。</w:t>
        <w:br w:type="textWrapping"/>
        <w:t xml:space="preserve">例如：BW太小or必須限水(PDA)，則可以泡得更濃一些!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若持續高血鉀→↑U/kg/hr→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增加RI滴數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泡更濃之RI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每單位RI 至少與3-5g 的glucose 同時輸注，以避免低血糖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189" w:right="0" w:hanging="189"/>
        <w:jc w:val="left"/>
        <w:rPr>
          <w:b w:val="0"/>
          <w:bCs w:val="0"/>
          <w:i w:val="0"/>
          <w:iCs w:val="0"/>
          <w:sz w:val="32"/>
          <w:szCs w:val="32"/>
          <w:u w:val="no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glucose(g)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RI(U)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32"/>
            <w:szCs w:val="32"/>
            <w:u w:val="none"/>
            <w:shd w:fill="auto" w:val="clear"/>
            <w:vertAlign w:val="baseline"/>
          </w:rPr>
          <m:t xml:space="preserve">=3~5=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SIR(g/kg/hr)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RI(U/kg/hr)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32"/>
            <w:szCs w:val="32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d9d9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d9d9" w:val="clear"/>
                <w:vertAlign w:val="baseline"/>
              </w:rPr>
              <m:t xml:space="preserve">SIR(mg/kg/min)</m:t>
            </m:r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×0.06(換單位係數)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d9d9" w:val="clear"/>
                <w:vertAlign w:val="baseline"/>
              </w:rPr>
              <m:t xml:space="preserve">RI流量((U/kg)/hr)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2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若低血糖&lt;60 mg/dL→↑SIR→泡更濃之糖水(主line, RI or others)或增加滴數(if tolerated)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2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glucose level Q1H *2 times then q6h if Dex&gt;60 mg/dL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-2" w:right="0" w:firstLine="56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Ref.: The management of acute hyperkalaemia in neonates and children. Arch Dis Child. 2012;97(4):376-380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-2" w:right="0" w:firstLine="56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auto" w:val="clear"/>
        <w:spacing w:after="0" w:before="0" w:line="34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【舉例】以BW 500g之ELBW premature baby為例: if K=8.0 mEq/L。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auto" w:val="clear"/>
        <w:spacing w:after="0" w:before="0" w:line="34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Order開立：RI 50U in D10W 500c.c, 1ml/hr=0.2 U/kg/hr; run 0.5 ml/hr= 0.1 U/kg /hour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auto" w:val="clear"/>
        <w:spacing w:after="0" w:before="0" w:line="34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然後請再依其Dex、fluid status(是否須限水?)、BW之變化，靈活調整RI滴數or泡法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auto" w:val="clear"/>
        <w:spacing w:after="0" w:before="0" w:line="34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psfvdxl0yldw" w:id="10"/>
      <w:bookmarkEnd w:id="10"/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(RI unit數 or glucose water之concentration)!</w:t>
      </w:r>
      <w:r w:rsidDel="00000000" w:rsidR="00000000" w:rsidRPr="00000000">
        <w:rPr>
          <w:rtl w:val="0"/>
        </w:rPr>
      </w:r>
    </w:p>
    <w:tbl>
      <w:tblPr>
        <w:tblStyle w:val="Table4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A0"/>
      </w:tblPr>
      <w:tblGrid>
        <w:gridCol w:w="2263"/>
        <w:gridCol w:w="2552"/>
        <w:gridCol w:w="2820"/>
        <w:gridCol w:w="950"/>
        <w:gridCol w:w="1191"/>
        <w:tblGridChange w:id="0">
          <w:tblGrid>
            <w:gridCol w:w="2263"/>
            <w:gridCol w:w="2552"/>
            <w:gridCol w:w="2820"/>
            <w:gridCol w:w="950"/>
            <w:gridCol w:w="1191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Doses (i.v. unless otherwise specified)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Mechanism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Calcium gluconate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0.5-1 mEq/kg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 5-10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Modifies myocardial excitability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立刻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30mins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Sodium bicarbonate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mEq/kg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 10-30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3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Intracellular uptake of 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line="3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立刻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3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variable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Glucose and insulin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見上方說明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Intracellular uptake of 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4-6 h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Furosemide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1mg/kg Q6H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Increase renal K excretion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0.25~1h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4h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Salbutamol </w:t>
              <w:br w:type="textWrapping"/>
              <w:t xml:space="preserve">(albuterol)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150μg/kg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Q20min x3, then 150~300 μg/kg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Intracellular uptake of 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120 min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Kayexalate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g/kg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intrarectally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q6h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Exchange of K for Na or 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1-2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4-6 h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Exchange transfusion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Uptake of K by erythrocytes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12 h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Peritoneal dialysis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a dialysate with low K Concentration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limit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Hemofiltration &amp; HD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3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Filtration, dialysis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Days</w:t>
            </w:r>
          </w:p>
        </w:tc>
      </w:tr>
    </w:tbl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566" w:right="0" w:hanging="56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Hyponatremia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 serum Na level &lt; 135mEq/l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Approach and D.D. of hyponatremia: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Laboratory studies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of bedside chart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body weight and I/O (input/output)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 gain or input greater than output : dilutional hyponatremia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Urine output and specific gravity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Na and osmolarity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Spot urine Na, osmolarity and specific gravity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Diagnosis of SIADH: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urine output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Urine osmol &gt; serum osmol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serum Na and low serum osmol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urine Na and high specific gravity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examination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the signs of seizure activity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 overload: edema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Emergent measures: if seizure occur - 3% NaCl 4~6ml/kg immediately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 overload (dilutional hyponatremia)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Fluid restriction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Diuretic e.g. Lasix 1mg/kg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Inadequate Na intake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maintenance Na requirement for term infants is 2 ~ 4mEq/kg/day, it is higher in premature infants.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total Na deficit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125時必須處理，否則可能會抽筋！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（Na value desired (130~135) － Infant's Na value） X weight (kg) X 0. 6 </w:t>
        <w:br w:type="textWrapping"/>
        <w:t xml:space="preserve">=____ meq，再除以(0.513) = ____ ml (if補全量)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如果（Na value desired (130~135)－ Infant's Na value）數值大於10 則用10算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通常說半量是為了避免鈉濃度上升太快，所以如果目標Na 130 一般補全量，而目標135會補半量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(上升5)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(請與主治醫師或學長姐確認目標濃度及補法)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建議IVD 3 hrs, then 扣IV or 打Lasix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SIADH (Syndrome of inappropriate secretion of antidiuretic hormone)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Fluid restriction 40 - 60ml/kg/day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2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bookmarkStart w:colFirst="0" w:colLast="0" w:name="_n3rb7b1onln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Further investigation of underlying entitie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566" w:right="0" w:hanging="56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Late Metabolic Acidosis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</w:t>
        <w:br w:type="textWrapping"/>
        <w:t xml:space="preserve">In the slowly growing premies, acidosis may occur as a result of formula feeding with a high amount of protein (esp. high casein content) or with a usual protein load.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Disproportion between the rate of endogenous acid production and renal excretion - net positive acid balance with a decreased growth rate, rule out inborn error of metabolism and urea cycle defects and organic acid disorders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 seen at present after feeding whey protein dominant premature formula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presentations:</w:t>
        <w:br w:type="textWrapping"/>
        <w:t xml:space="preserve">Poor feeding, weight loss, lethargy, vomiting and seizure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Sodium bicarbonate (2 - 4mEq/kg/day) for 1 or 2 days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Decrease protein feeding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begins and acidosis resolves: Discontinue alkali supplementation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566" w:right="0" w:hanging="9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nuaeaqjmoae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566" w:right="0" w:hanging="56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Metabolic Acidosis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Respiratory acidosis者，應優先correct CO2 retention之情形，而非補NaHCO3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低體溫者應先保暖；newborn剛生下來體溫尚未回升、稍微acidosis時，</w:t>
        <w:br w:type="textWrapping"/>
        <w:t xml:space="preserve">勿輕易補sodium bicarbonate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severe metabolic acidosis, NaHCO3 0.835mEq/ml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Stat補Sodium bicarbonate (BW+BW) c.c. iv slowly push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NaHCO3(ml) = 0.6 * BW * (BE值) 再除以 (0.835)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，then除以2 = _____ml</w:t>
        <w:br w:type="textWrapping"/>
        <w:t xml:space="preserve">(通常我們只補半量)，以distilled water dilute一倍，IVD for 2~4 hrs，</w:t>
        <w:br w:type="textWrapping"/>
        <w:t xml:space="preserve">扣IV or 打lasix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40" w:lineRule="auto"/>
        <w:rPr>
          <w:sz w:val="28"/>
          <w:szCs w:val="28"/>
        </w:rPr>
      </w:pPr>
      <w:bookmarkStart w:colFirst="0" w:colLast="0" w:name="_m7fwpajlpm02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566" w:right="0" w:hanging="56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Infant of Diabetic mother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486"/>
          <w:tab w:val="left" w:leader="none" w:pos="8486"/>
        </w:tabs>
        <w:spacing w:after="0" w:before="0" w:line="3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control of maternal diabetes is the key factor in determining fetal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</w:t>
        <w:br w:type="textWrapping"/>
        <w:t xml:space="preserve">Defined by maternal history, including an abnormal glucose tolerance test.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manifestation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Metabolic disorders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hypoglycemia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8d8d8" w:val="clear"/>
          <w:vertAlign w:val="baseline"/>
          <w:rtl w:val="0"/>
        </w:rPr>
        <w:t xml:space="preserve">hypocalcemia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hypomagnesemia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Cardiorespiratory disorders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perinatal asphyxia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hyaline membrane disease or respiratory distress syndrome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transient tachypnea of the newborn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cardiomyopathy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Hematologic disorders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hyperbilirubinemia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polycythemia and hyperviscosity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renal vein thrombosis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Morphologic and functional problems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macrosomia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birth injury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congenital malformation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Diagnosis: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Dex frequent as needed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calcium level at 6, 24 and 48 hours of age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Hct at birth and at 4 and 24 hours of age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bilirubin level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test: ABG, complete blood counts, cultures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EKG and echocardiography:hypertrophic cardiomyopathy or cardiac malformation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recognition of RDS and treat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blood glucose level treat asymptomatic hypoglycemia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oral feeding to prevent hypoglycemia if no RDS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polycythemia and hypocalcemia should be diagnosed or excluded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566" w:right="0" w:hanging="56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Metabolic Bone Disease of Prematurity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Decreased bone mineral content occurs mainly as a result of lack of adequate Ca and P intake in extrauterine life.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Osteopenia: evidence of decreased bone mineralization without radiological signs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Rickets: radiological evidence of bone demineralization and elevated serum ALP levels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Incidence: &lt;1500 gm: 30%; &lt;1000 gm: 50%; &lt; 800 gm: 70%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Onset: postnatal age 6-7 w/o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risk patient: GA&lt;34 wks esp. GA&lt;28 wks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Manifestations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spectrum extending from overt bone disease (rickets and fracture) to mild biochemical disturbances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Fracture site: extremities – pain, loss of movement, deformity, ribs – exacerbating respiratory distress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Skeletal deformity: rib cage softening and altered head shape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Radiological grading of MBDP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 0: Normal bone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 1: Bone rarefaction only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 2: Metaphyseal changes with subperiosteal new bone formation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 3: The above changes with fractures 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 onset respiratory disease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Diagnosis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detection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Biweekly to bimonthly: serum Ca, P, Mg, ALP, gas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Monthly: serum Vit D levels, wrist or knee radiographs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elevations in ALP (400-800 IU/L)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in rapidly growing prematurity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 &gt; 800 IU/L, P &lt; 3.5mg/dl, Ca: usually remaining normal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Supplementary test: 25-OH-Vit D, 1,25-(OH)2-Vit D, PTH, urine Ca and P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P concentrations showed high specificity in diagnosing MBDP.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B-ALP gave no additional information in detecting MBDP.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Combination of ALP &gt; 900 IU/L and P &lt; 1.8 mmol/L (5.5mg/dl)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Sensitivity 100% and specificity 70% (Acta paediatr 2000, Finland)</w:t>
      </w:r>
    </w:p>
    <w:p w:rsidR="00000000" w:rsidDel="00000000" w:rsidP="00000000" w:rsidRDefault="00000000" w:rsidRPr="00000000" w14:paraId="000001D0">
      <w:pPr>
        <w:spacing w:line="3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Radiology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X-ray: standard radiographs of the long bone or ribs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20-40% bone mineral depletion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Craniotabes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Splaying of the metaphyseal ends of the long bones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Epiphyseal cupping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Thickening wrist and/or knee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Non-traumatic palpable swelling of the costochondral junctions of the rib cage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Non-traumatic fracture of ribs and extremities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Kyphoscoliosis, bowing of the legs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Bone mineral densitometry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Single-photon absorptiomerty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Dual-energy X-ray absorptiomerty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Correlation between radiologic changes and ALP activity is poor.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Prevention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Initiate enteral feedings as early as possible.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nutritional care is fundamental in reducing the incidence of MBDP.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Ca and P in the recommended ratio of 1.3-1.7:1.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term PN usage: receiving maximal amounts of Ca and P (keep at 重量比 1.3-1.7:1)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Parenteral Nutrition with sodium glycerophosphate: 使用有機磷不受鈣磷沉澱的限制，可補足新生兒骨骼發育所需之磷，以下情況可考慮使用有機磷，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使用PN兩週以上且腸道營養&lt; 30cc/kg/day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腸道手術後預期長期使用PN者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(2021 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 D: 400 IU/day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preterm formula or fortified human milk instead of standard formula.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Fortifier: powder fortifier is better than liquid fortifier.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 and/or Ca in the human milk:  oral intake 2ml/hr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 (2mmol/kg/day)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Relative Ca deficiency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Ca ( after adding P for 5 min)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134" w:right="0" w:hanging="42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Minimize the use of diuretics (esp. loop diuretics).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from lasix to an anticalciuric diuretic.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134" w:right="0" w:hanging="42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 the use of aminophylline and dexamethasone therapy by switching to albuterol and weaning steroids as soon as medically possible.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134" w:right="0" w:hanging="42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of passive range of motion to the extremities.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8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mainstay of therapy is the provision of adequate Ca and P to permit mineralization of bone.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Fractures secondary to MBDP: conservative orthopedic approach, positioning and use of simple splints with good outcome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of MBDP complicated by other medical conditions: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Lasix use: switch to chlorothiazide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Aminophylline and dexamethasone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Phenobarbital and hydantoin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 associated cholestatic liver disease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Chronic renal failure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Malabsorption and fed with pregestimil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Chronic PN with MBDP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feeding after discharge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months of an enriched formula may be adequate in maximizing bone mineral acquisition.(Arch of Disease in childhood 1996)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most important period of skeletal mineralization occurs immediately after hospital discharge, when the infant may be developing increased Vit D sensitivity.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persistent need for human milk fortifier in a former ELBW infant during the first 6 months of life while he was fed with expressed own mother’s milk exclusively.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Biochemical and radiologic evidence of MBDP: little associated morbidity, seems to be self-limited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Decreased bone mineral content at 4-16 y/o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incidence of myopia: head flattening caused by osteopenia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Affect growth and long-term skeletal structure?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Infants exhibiting osteopenia with elevated ALP have the potential for a deficit in body length by 18 months of age.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Childhood height in preterm infants is strongly influenced by genetic factors. However, biochemical evidence of metabolic bone disease during the neonatal period may have a long-term stunting effect persisting up to 12 years later, providing support for current practices that aim to prevent this condition. (J Pediatr 2000, UK)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preterm-born children, spontaneous resolution of lumbar spinal osteopenia occurs during early childhood. (Biol Neonate 1995, Japan)</w:t>
      </w:r>
    </w:p>
    <w:p w:rsidR="00000000" w:rsidDel="00000000" w:rsidP="00000000" w:rsidRDefault="00000000" w:rsidRPr="00000000" w14:paraId="00000208">
      <w:pPr>
        <w:spacing w:line="340" w:lineRule="auto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851" w:right="0" w:hanging="85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Thyroid disorder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新生兒甲狀腺疾病與NB出生情況、母親病史以及用藥情況息息相關。</w:t>
        <w:br w:type="textWrapping"/>
        <w:t xml:space="preserve">常見疾病包含Congenital hypothyroidism、Transient hypothyroxinemia of prematurity (THOP)、sick euthyroid syndrome、neonatal Graves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新生兒生理：正常新生兒受出生的stress、hypothermia，會出現TSH surge (2~4hrs)，然後5日後逐漸回到初始值，1個月大時TSH降到約6 mU/L，2m/o前到成人的0.5~4mU/L，但早產兒因為hypothalamic-pituitary-thyroid axis較不成熟所以TSH surge, T3, T4 level都較低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新生兒篩檢：現行newborn screen 檢測TSH(滿48~72小時後做)，如果不到24小時就做不管結果如何都得重驗 (避免TSH surge干擾)。第一次檢驗異常者需再抽TSH及 free T4做二次確認。此外，出生週數未滿34週的早產兒，如果滿28天大時還沒出院就會再增加一次新生兒篩檢採血 (開立新生兒篩檢複檢醫令661485，於備註註明TSH) ，以便及早診斷先天性甲狀腺低能症 (Congenital hypothyroidism, 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懷孕生理：正常懷孕過程，母親E2增加連帶造成TBG製造增加</w:t>
        <w:br w:type="textWrapping"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 T4, FT4增加(relative hyperthyroidism) </w:t>
        <w:br w:type="textWrapping"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使胎兒能藉由transplacenta gradient得到足夠之FT4幫助腦部發育。任何甲狀腺疾病之母親，需將FT4控制在upper normal range，胎兒才可得到足夠供應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(2021 增)BR及NBC新生兒甲狀腺機能亢進篩檢流程圖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(2020.10 馬偕兒童內分泌科 製表)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28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新生兒篩檢可以把關甲狀腺低下的新生兒，此流程圖的目的為找出有甲狀腺亢進的新生兒，若懷孕母親有符合下列四項任一的定義，新生兒才需要進一步檢查，如此可以減少不必要的抽血檢驗。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28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</wp:posOffset>
            </wp:positionH>
            <wp:positionV relativeFrom="paragraph">
              <wp:posOffset>255270</wp:posOffset>
            </wp:positionV>
            <wp:extent cx="6184900" cy="3183255"/>
            <wp:effectExtent b="0" l="0" r="0" t="0"/>
            <wp:wrapTopAndBottom distB="0" dist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183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重點病史詢問可以排除許多問題： 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灰底者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為易遺漏資訊請會診時一定要提供)</w:t>
      </w:r>
      <w:r w:rsidDel="00000000" w:rsidR="00000000" w:rsidRPr="00000000">
        <w:rPr>
          <w:rtl w:val="0"/>
        </w:rPr>
      </w:r>
    </w:p>
    <w:tbl>
      <w:tblPr>
        <w:tblStyle w:val="Table5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29"/>
        <w:gridCol w:w="1276"/>
        <w:gridCol w:w="7371"/>
        <w:tblGridChange w:id="0">
          <w:tblGrid>
            <w:gridCol w:w="1129"/>
            <w:gridCol w:w="1276"/>
            <w:gridCol w:w="7371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spacing w:line="3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母親病史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spacing w:line="3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甲狀腺疾病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line="3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Hypothyroidism(Autoimmune or Iodine deficiency or iatrogenic or CH) or hyperthyroidism(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Graves' disease or (toxic adenoma, toxic multinodular goiter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)? </w:t>
            </w:r>
          </w:p>
          <w:p w:rsidR="00000000" w:rsidDel="00000000" w:rsidP="00000000" w:rsidRDefault="00000000" w:rsidRPr="00000000" w14:paraId="00000215">
            <w:pPr>
              <w:spacing w:line="3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是否曾經接受過thyroid surgery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radioactive iodine(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RAI) therapy?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line="3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懷孕中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3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甲狀腺症狀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spacing w:line="3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有無hyper or hypothyroidism之症狀?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line="3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shd w:fill="d9d9d9" w:val="clear"/>
                <w:rtl w:val="0"/>
              </w:rPr>
              <w:t xml:space="preserve">懷孕中TSH/FT4/TSH-R Ab data? 是否有將FT4維持在upper normal range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spacing w:line="3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懷孕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line="3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藥物使用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spacing w:line="3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藥物使用多久?停用多久?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shd w:fill="d9d9d9" w:val="clear"/>
                <w:rtl w:val="0"/>
              </w:rPr>
              <w:t xml:space="preserve">懷孕中曾使用藥物(PTU/Methimazole/Propranolol/Thyroxine)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spacing w:line="3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NB病史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spacing w:line="3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出生史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spacing w:line="3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 ? Perinatal asphyxia? Congenital disease? Down syndrome?</w:t>
            </w:r>
          </w:p>
          <w:p w:rsidR="00000000" w:rsidDel="00000000" w:rsidP="00000000" w:rsidRDefault="00000000" w:rsidRPr="00000000" w14:paraId="00000222">
            <w:pPr>
              <w:spacing w:line="3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shd w:fill="d9d9d9" w:val="clear"/>
                <w:rtl w:val="0"/>
              </w:rPr>
              <w:t xml:space="preserve">近期有無使用優碘消毒造成Wolff Chaikoff effect?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spacing w:line="3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Vital 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line="3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shd w:fill="d9d9d9" w:val="clear"/>
                <w:rtl w:val="0"/>
              </w:rPr>
              <w:t xml:space="preserve">T/P/R/BP and 是否使用昇壓藥物? 有無使用Amiodarone?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spacing w:line="3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其他</w:t>
              <w:br w:type="textWrapping"/>
              <w:t xml:space="preserve">重點症狀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line="3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Hypothyroidism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: Poor feeding、prolonged jaundice、umbilical hernia、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macroglossia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、hypothermia、constipation、abdominal fullness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line="3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Graves disease: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 Irritability、fever、tachycardia、poor BW gain、hyperreflexia、increase bowel movement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numPr>
          <w:ilvl w:val="0"/>
          <w:numId w:val="8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bookmarkStart w:colFirst="0" w:colLast="0" w:name="_ah1fg555unc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 for Thyroid Disorder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8d8d8" w:val="clear"/>
          <w:vertAlign w:val="baseline"/>
          <w:rtl w:val="0"/>
        </w:rPr>
        <w:t xml:space="preserve">Congenital hypothyroidism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low FT4 level and TSH &gt; 40 µU/ml are indicative of congenital hypothyroidism.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Borderline TSH levels (20-40 µU/ml) should be repeated.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Levothyroxine: initial starting dose (oral 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134"/>
        </w:tabs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Premature infants 8-12 µg/kg/day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infants 10-15 µg/kg/day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134"/>
        </w:tabs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FT4 in upper half of the normal range and TSH &lt; 10 µU/ml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134"/>
        </w:tabs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 given about 1/2 hour prior to feedings because it is less well absorbed with food intake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Further follow-up：F/U FT4 and TSH 2-4 weeks later after initiation of therapy to rule out the possibility of transient hypothyroidism.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2"/>
          <w:numId w:val="9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every 1-2 months during the 1st year of life.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2"/>
          <w:numId w:val="9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weeks after changing dosage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2"/>
          <w:numId w:val="9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2-3 months during the 2nd and 3rd years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2"/>
          <w:numId w:val="9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children &gt; 3 y/o. should not exceed 4-6 months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11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Ind w:w="108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8"/>
        <w:gridCol w:w="1630"/>
        <w:gridCol w:w="1612"/>
        <w:gridCol w:w="1500"/>
        <w:gridCol w:w="1625"/>
        <w:tblGridChange w:id="0">
          <w:tblGrid>
            <w:gridCol w:w="3008"/>
            <w:gridCol w:w="1630"/>
            <w:gridCol w:w="1612"/>
            <w:gridCol w:w="1500"/>
            <w:gridCol w:w="162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18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Thyroid hormone reference range (Mean ±SD) for Full term and Preterm Neonates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Gestational age (wks)</w:t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Birth</w:t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days old</w:t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days old</w:t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 days old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18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Free T4 (ng/dL)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spacing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spacing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spacing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spacing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23-27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1.3±0.4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1.5±0.6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1.4±0.5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1.8±0.5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28-30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1.4±0.4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1.8±0.7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1.6±0.4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1.7±0.5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31-34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1.5±0.3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2.1±0.6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2.0±0.4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1.8±0.6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1.4±0.4</w:t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2.7±0.6</w:t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2.0±0.3</w:t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2.1±2.5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TSH (mU/L)</w:t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spacing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spacing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spacing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spacing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23-27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6.8±2.9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3.5±2.6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3.9±2.7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3.8±4.7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28-30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7.0±3.7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3.6±2.5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4.9±11.2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3.6±2.5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31-34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7.9±5.2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3.6±4.8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3.8±9.3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3.5±3.4</w:t>
            </w:r>
          </w:p>
        </w:tc>
      </w:tr>
      <w:tr>
        <w:trPr>
          <w:cantSplit w:val="0"/>
          <w:trHeight w:val="24" w:hRule="atLeast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6.7±4.8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2.6±1.8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2.5±2.0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</w:tabs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1.8±0.9</w:t>
            </w:r>
          </w:p>
        </w:tc>
      </w:tr>
    </w:tbl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189" w:right="0" w:firstLine="0"/>
        <w:jc w:val="left"/>
        <w:rPr>
          <w:shd w:fill="d8d8d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8d8d8" w:val="clear"/>
          <w:vertAlign w:val="baseline"/>
          <w:rtl w:val="0"/>
        </w:rPr>
        <w:t xml:space="preserve">Neonatal thyrotoxicosis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Therapy depends on the severity of the symptoms.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Mild: close observation is required. Therapy is not necessary.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Moderate: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Lugol’s solution (iodine), 1 drop q 8 h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Propylthiouracil, 10 mg/kg/day tid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Methimazole, 0.5-1 mg/kg/day tid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1134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Severe: In addition to antithyroid medication, propranolol, 1-2 mg/kg/day bid-qid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8d8d8" w:val="clear"/>
          <w:vertAlign w:val="baseline"/>
          <w:rtl w:val="0"/>
        </w:rPr>
        <w:t xml:space="preserve">Transient hypothyroxinemia of prematurity (THOP)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對象：小於32週早產兒(但不建議例行替32週以前小孩驗free T4/TSH)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定義：TSH &lt; 10 μU/mL 及 free thyroxine (FT4) &lt; 0.8 ng/dL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治療時間：6~8週時間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建議起始劑量：5 μg/kg/day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用藥後兩星期後追蹤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安排甲狀腺超音波檢查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851" w:right="0" w:hanging="85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330159" cy="8161377"/>
            <wp:effectExtent b="0" l="0" r="0" t="0"/>
            <wp:docPr descr="Picture 7" id="7" name="image4.png"/>
            <a:graphic>
              <a:graphicData uri="http://schemas.openxmlformats.org/drawingml/2006/picture">
                <pic:pic>
                  <pic:nvPicPr>
                    <pic:cNvPr descr="Picture 7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0159" cy="8161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 Pediatr 1997; 130:128-33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851" w:right="0" w:hanging="85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Carnitine deficiency interpretation and supplement dose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0"/>
        </w:tabs>
        <w:spacing w:after="0" w:before="0" w:line="340" w:lineRule="auto"/>
        <w:ind w:left="567" w:right="0" w:hanging="56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 data interpretation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7"/>
        <w:tblW w:w="9895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102"/>
        <w:gridCol w:w="2551"/>
        <w:gridCol w:w="3686"/>
        <w:gridCol w:w="2556"/>
        <w:tblGridChange w:id="0">
          <w:tblGrid>
            <w:gridCol w:w="1102"/>
            <w:gridCol w:w="2551"/>
            <w:gridCol w:w="3686"/>
            <w:gridCol w:w="2556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spacing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正常範圍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臨床意義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FC</w:t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≥20 micromole/L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須參考AC/FC ratio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Plasma free carnitine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</w:t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30-60 micromole/L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須參考FC/TC ratio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Plasma total carnitine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AC/FC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&lt;0.4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&gt;0.4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carnitine deficiency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代謝異常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FC/TC</w:t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&gt;0.7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&lt;0.7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carnitine insufficiency</w:t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給得不夠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2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 (plasma total carnitine)  = AC (Acylcarnitine carnitine) + FC (plasma free carnitine)</w:t>
            </w:r>
          </w:p>
        </w:tc>
      </w:tr>
    </w:tbl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0"/>
        </w:tabs>
        <w:spacing w:after="0" w:before="0" w:line="340" w:lineRule="auto"/>
        <w:ind w:left="2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0"/>
        </w:tabs>
        <w:spacing w:after="0" w:before="0" w:line="3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Carnitine Supplement Dose: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primary carnitine deficiency: 10-20mg/kg/day in parenteral nutrition solution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be administered by a continuous infusion dilute to 0.5~8 mg/ml in Lactated ringer solution or normal saline..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例: Carnitine10~20 mg/kg/dose QOD IV slowly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 </w:t>
      </w:r>
      <w:r w:rsidDel="00000000" w:rsidR="00000000" w:rsidRPr="00000000">
        <w:rPr>
          <w:rtl w:val="0"/>
        </w:rPr>
        <w:t xml:space="preserve">(UpToDate, </w:t>
      </w:r>
      <w:r w:rsidDel="00000000" w:rsidR="00000000" w:rsidRPr="00000000">
        <w:rPr>
          <w:rFonts w:ascii="Gungsuh" w:cs="Gungsuh" w:eastAsia="Gungsuh" w:hAnsi="Gungsuh"/>
          <w:shd w:fill="cccccc" w:val="clear"/>
          <w:rtl w:val="0"/>
        </w:rPr>
        <w:t xml:space="preserve">2023修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340" w:lineRule="auto"/>
        <w:ind w:left="709" w:firstLine="0"/>
        <w:rPr/>
      </w:pPr>
      <w:r w:rsidDel="00000000" w:rsidR="00000000" w:rsidRPr="00000000">
        <w:rPr>
          <w:rtl w:val="0"/>
        </w:rPr>
        <w:t xml:space="preserve">For deficiency: 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 mg/kg/day Q3-4H; titrate slowly as needed to 50-100 mg/kg/day; (up to 400 mg/kg/day) (Longo 2006; Magoulas 2012)</w:t>
      </w:r>
    </w:p>
    <w:p w:rsidR="00000000" w:rsidDel="00000000" w:rsidP="00000000" w:rsidRDefault="00000000" w:rsidRPr="00000000" w14:paraId="000002AA">
      <w:pPr>
        <w:spacing w:line="340" w:lineRule="auto"/>
        <w:ind w:left="709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口服 1#(1000mg) in distilled water 10cc冰冰箱(可放3天)，再依所需劑量頻率開出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40" w:lineRule="auto"/>
        <w:ind w:left="709" w:right="210" w:firstLine="0"/>
        <w:jc w:val="right"/>
        <w:rPr>
          <w:color w:val="999999"/>
        </w:rPr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Reference: </w:t>
      </w:r>
      <w:r w:rsidDel="00000000" w:rsidR="00000000" w:rsidRPr="00000000">
        <w:rPr>
          <w:i w:val="1"/>
          <w:iCs w:val="1"/>
          <w:color w:val="999999"/>
          <w:sz w:val="21"/>
          <w:szCs w:val="21"/>
          <w:rtl w:val="0"/>
        </w:rPr>
        <w:t xml:space="preserve">Pediatric dosage handbook with international trade names index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, 16</w:t>
      </w:r>
      <w:r w:rsidDel="00000000" w:rsidR="00000000" w:rsidRPr="00000000">
        <w:rPr>
          <w:color w:val="999999"/>
          <w:sz w:val="21"/>
          <w:szCs w:val="21"/>
          <w:vertAlign w:val="superscript"/>
          <w:rtl w:val="0"/>
        </w:rPr>
        <w:t xml:space="preserve">th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 edition, p.231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21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(Uptodate):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mg/kg/day in </w:t>
      </w:r>
      <w:r w:rsidDel="00000000" w:rsidR="00000000" w:rsidRPr="00000000">
        <w:rPr>
          <w:rtl w:val="0"/>
        </w:rPr>
        <w:t xml:space="preserve">PN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solution; higher doses up to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mg/kg/day may be necessary in patients with elevated triglyceride levels or receiving parenteral nutrition longer than 7 days; free and total plasma carnitine concentrations should be monitored and doses adjusted accordingly (ASPEN [Corkins 2015])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67"/>
        </w:tabs>
        <w:spacing w:after="0" w:before="120" w:line="240" w:lineRule="auto"/>
        <w:ind w:left="851" w:right="0" w:hanging="851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急性新生兒高血氨處理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快速鍵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HiNH3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76" w:right="0" w:firstLine="107.464566929133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</w:rPr>
        <w:sectPr>
          <w:headerReference r:id="rId13" w:type="default"/>
          <w:headerReference r:id="rId14" w:type="first"/>
          <w:headerReference r:id="rId15" w:type="even"/>
          <w:footerReference r:id="rId16" w:type="default"/>
          <w:footerReference r:id="rId17" w:type="first"/>
          <w:footerReference r:id="rId18" w:type="even"/>
          <w:pgSz w:h="16840" w:w="11900" w:orient="portrait"/>
          <w:pgMar w:bottom="1440" w:top="1440" w:left="1080" w:right="1080" w:header="851" w:footer="567"/>
          <w:pgNumType w:start="189"/>
        </w:sect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對象: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76" w:right="0" w:hanging="1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u w:val="none"/>
        </w:rPr>
      </w:pPr>
      <w:bookmarkStart w:colFirst="0" w:colLast="0" w:name="_5e861lfudjrv" w:id="15"/>
      <w:bookmarkEnd w:id="15"/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出生 ≤ 30天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76" w:right="0" w:hanging="1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血氨 ≥ 150μg/dL (1μg/dL=1.7μmol/L)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76" w:right="0" w:hanging="1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u w:val="none"/>
        </w:rPr>
        <w:sectPr>
          <w:type w:val="continuous"/>
          <w:pgSz w:h="16840" w:w="11900" w:orient="portrait"/>
          <w:pgMar w:bottom="1080" w:top="1080" w:left="1440" w:right="1080" w:header="851" w:footer="567"/>
          <w:cols w:equalWidth="0" w:num="2">
            <w:col w:space="469" w:w="4455.5"/>
            <w:col w:space="0" w:w="4455.5"/>
          </w:cols>
        </w:sect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無法排除先天性代謝異常病嬰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25.19685039370086" w:right="0" w:hanging="566.9291338582677"/>
        <w:jc w:val="left"/>
        <w:rPr>
          <w:u w:val="none"/>
        </w:rPr>
        <w:sectPr>
          <w:type w:val="continuous"/>
          <w:pgSz w:h="16840" w:w="11900" w:orient="portrait"/>
          <w:pgMar w:bottom="1080" w:top="1080" w:left="1440" w:right="1080" w:header="851" w:footer="567"/>
        </w:sect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醫囑/ STAT 檢驗檢查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10"/>
        </w:numPr>
        <w:spacing w:line="276" w:lineRule="auto"/>
        <w:ind w:left="284" w:hanging="189"/>
        <w:rPr/>
      </w:pPr>
      <w:bookmarkStart w:colFirst="0" w:colLast="0" w:name="_6iv3c49n74ep" w:id="16"/>
      <w:bookmarkEnd w:id="16"/>
      <w:r w:rsidDel="00000000" w:rsidR="00000000" w:rsidRPr="00000000">
        <w:rPr>
          <w:rtl w:val="0"/>
        </w:rPr>
        <w:t xml:space="preserve">ABG</w:t>
      </w:r>
    </w:p>
    <w:p w:rsidR="00000000" w:rsidDel="00000000" w:rsidP="00000000" w:rsidRDefault="00000000" w:rsidRPr="00000000" w14:paraId="000002B8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CBC/DC, CRP</w:t>
      </w:r>
    </w:p>
    <w:p w:rsidR="00000000" w:rsidDel="00000000" w:rsidP="00000000" w:rsidRDefault="00000000" w:rsidRPr="00000000" w14:paraId="000002B9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PT/aPTT</w:t>
      </w:r>
    </w:p>
    <w:p w:rsidR="00000000" w:rsidDel="00000000" w:rsidP="00000000" w:rsidRDefault="00000000" w:rsidRPr="00000000" w14:paraId="000002BA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Na/K/Cl/Ca/Mg/P, Bun/Cr</w:t>
      </w:r>
    </w:p>
    <w:p w:rsidR="00000000" w:rsidDel="00000000" w:rsidP="00000000" w:rsidRDefault="00000000" w:rsidRPr="00000000" w14:paraId="000002BB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AST/ALT, Alkaline Phosphatase, Bilirubin total/direct, Albumin</w:t>
      </w:r>
    </w:p>
    <w:p w:rsidR="00000000" w:rsidDel="00000000" w:rsidP="00000000" w:rsidRDefault="00000000" w:rsidRPr="00000000" w14:paraId="000002BC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Glucose </w:t>
      </w:r>
    </w:p>
    <w:p w:rsidR="00000000" w:rsidDel="00000000" w:rsidP="00000000" w:rsidRDefault="00000000" w:rsidRPr="00000000" w14:paraId="000002BD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Plasma uric acid </w:t>
      </w:r>
    </w:p>
    <w:p w:rsidR="00000000" w:rsidDel="00000000" w:rsidP="00000000" w:rsidRDefault="00000000" w:rsidRPr="00000000" w14:paraId="000002BE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Plasma ammonia ** 冰浴 ** 20分鐘內有結果 **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Plasma amino acid</w:t>
      </w:r>
    </w:p>
    <w:p w:rsidR="00000000" w:rsidDel="00000000" w:rsidP="00000000" w:rsidRDefault="00000000" w:rsidRPr="00000000" w14:paraId="000002C0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Plasma lactic acid</w:t>
      </w:r>
    </w:p>
    <w:p w:rsidR="00000000" w:rsidDel="00000000" w:rsidP="00000000" w:rsidRDefault="00000000" w:rsidRPr="00000000" w14:paraId="000002C1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Plasma acylcarnitines</w:t>
      </w:r>
    </w:p>
    <w:p w:rsidR="00000000" w:rsidDel="00000000" w:rsidP="00000000" w:rsidRDefault="00000000" w:rsidRPr="00000000" w14:paraId="000002C2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Total &amp; free carnitines</w:t>
      </w:r>
    </w:p>
    <w:p w:rsidR="00000000" w:rsidDel="00000000" w:rsidP="00000000" w:rsidRDefault="00000000" w:rsidRPr="00000000" w14:paraId="000002C3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Blood culture</w:t>
      </w:r>
    </w:p>
    <w:p w:rsidR="00000000" w:rsidDel="00000000" w:rsidP="00000000" w:rsidRDefault="00000000" w:rsidRPr="00000000" w14:paraId="000002C4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EDTA 管留 2-3ml ** 輸血 &amp; CVVH 前 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Urinalysis</w:t>
      </w:r>
    </w:p>
    <w:p w:rsidR="00000000" w:rsidDel="00000000" w:rsidP="00000000" w:rsidRDefault="00000000" w:rsidRPr="00000000" w14:paraId="000002C6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Urine organic acids (20-30ml, 收集部分檢體後可先冰存, 待集滿後再送檢)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tl w:val="0"/>
        </w:rPr>
        <w:t xml:space="preserve">Urine culture</w:t>
      </w:r>
    </w:p>
    <w:p w:rsidR="00000000" w:rsidDel="00000000" w:rsidP="00000000" w:rsidRDefault="00000000" w:rsidRPr="00000000" w14:paraId="000002C8">
      <w:pPr>
        <w:numPr>
          <w:ilvl w:val="0"/>
          <w:numId w:val="10"/>
        </w:numPr>
        <w:spacing w:line="276" w:lineRule="auto"/>
        <w:ind w:left="284" w:hanging="189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CSF studies &amp; culture (optional) 預留一管CSF 冷藏保存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10"/>
        </w:numPr>
        <w:spacing w:line="276" w:lineRule="auto"/>
        <w:ind w:left="284" w:hanging="189"/>
        <w:rPr/>
        <w:sectPr>
          <w:type w:val="continuous"/>
          <w:pgSz w:h="16840" w:w="11900" w:orient="portrait"/>
          <w:pgMar w:bottom="1080" w:top="1080" w:left="1440" w:right="1080" w:header="851" w:footer="567"/>
          <w:cols w:equalWidth="0" w:num="2">
            <w:col w:space="469" w:w="4455.5"/>
            <w:col w:space="0" w:w="4455.5"/>
          </w:cols>
        </w:sectPr>
      </w:pPr>
      <w:r w:rsidDel="00000000" w:rsidR="00000000" w:rsidRPr="00000000">
        <w:rPr>
          <w:rtl w:val="0"/>
        </w:rPr>
        <w:t xml:space="preserve">Brain Ech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25.19685039370086" w:right="0" w:hanging="566.9291338582677"/>
        <w:jc w:val="left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Management - 急性期病患處理</w:t>
      </w:r>
      <w:r w:rsidDel="00000000" w:rsidR="00000000" w:rsidRPr="00000000">
        <w:rPr>
          <w:rtl w:val="0"/>
        </w:rPr>
      </w:r>
    </w:p>
    <w:tbl>
      <w:tblPr>
        <w:tblStyle w:val="Table8"/>
        <w:tblW w:w="9780.0" w:type="dxa"/>
        <w:jc w:val="left"/>
        <w:tblInd w:w="-28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400"/>
      </w:tblPr>
      <w:tblGrid>
        <w:gridCol w:w="1710"/>
        <w:gridCol w:w="5190"/>
        <w:gridCol w:w="2880"/>
        <w:tblGridChange w:id="0">
          <w:tblGrid>
            <w:gridCol w:w="1710"/>
            <w:gridCol w:w="5190"/>
            <w:gridCol w:w="2880"/>
          </w:tblGrid>
        </w:tblGridChange>
      </w:tblGrid>
      <w:tr>
        <w:trPr>
          <w:cantSplit w:val="0"/>
          <w:trHeight w:val="24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血氨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(μg/dL)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未確診先天性代謝異常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已確診先天性代謝異常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.90039062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150-200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與小兒遺傳科醫師共照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停止進食以及蛋白質攝取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給予含糖點滴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undiagnosed case</w:t>
            </w:r>
          </w:p>
          <w:p w:rsidR="00000000" w:rsidDel="00000000" w:rsidP="00000000" w:rsidRDefault="00000000" w:rsidRPr="00000000" w14:paraId="000002D4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換成無蛋白配方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開始藥物治療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7.90039062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200-300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給予藥物: Carbaglu, Buphenyl, Carnitine, Vitamin B12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開始靜脈注射 SMOF 2-3g/kg/day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開始腹膜透析/血液透析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停止進食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3.867187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300-500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與蔡政道醫師共照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照會心臟血管外科建立血液透析及腹膜透析管路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開始腹膜透析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若於8小時內無顯著改善開始CRRT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undiagnosed case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開始CRRT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開始CRRT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undiagnosed case</w:t>
            </w:r>
          </w:p>
        </w:tc>
      </w:tr>
    </w:tbl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080" w:top="1080" w:left="1440" w:right="1080" w:header="851" w:footer="5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76" w:right="0" w:hanging="1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</w:rPr>
      </w:pPr>
      <w:bookmarkStart w:colFirst="0" w:colLast="0" w:name="_mk3cqbtkti3i" w:id="17"/>
      <w:bookmarkEnd w:id="17"/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CVVH 醫囑快速鍵: CVVH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356" w:right="0" w:hanging="1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詳見新生兒加護病房工作指引手冊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76" w:right="0" w:hanging="1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PD 醫囑快速鍵: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356" w:right="0" w:hanging="1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</w:rPr>
        <w:sectPr>
          <w:footerReference r:id="rId19" w:type="default"/>
          <w:type w:val="continuous"/>
          <w:pgSz w:h="16840" w:w="11900" w:orient="portrait"/>
          <w:pgMar w:bottom="1080" w:top="1080" w:left="1440" w:right="1080" w:header="851" w:footer="567"/>
          <w:cols w:equalWidth="0" w:num="2">
            <w:col w:space="469" w:w="4455.5"/>
            <w:col w:space="0" w:w="4455.5"/>
          </w:cols>
        </w:sect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詳見新生兒加護病房工作指引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76" w:right="0" w:firstLine="0"/>
        <w:jc w:val="left"/>
        <w:rPr/>
      </w:pPr>
      <w:bookmarkStart w:colFirst="0" w:colLast="0" w:name="_kl7b0khokcv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76" w:right="0" w:hanging="1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</w:rPr>
      </w:pPr>
      <w:bookmarkStart w:colFirst="0" w:colLast="0" w:name="_gpr6r9jhmbv8" w:id="19"/>
      <w:bookmarkEnd w:id="19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- 急性期藥物劑量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Carbamyl glutamate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Carbaglu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Loading: 100mg/kg stat, 250mg/kg/day q4~6H  (每dose盡量以半顆或一顆為單位以利分藥。 藥物泡製後無法保存) </w:t>
        <w:br w:type="textWrapping"/>
        <w:t xml:space="preserve">院內無此藥，聯絡中國醫藥大學附設醫院「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罕見疾病特殊營養食品暨緊急需用藥物物流中心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」申請調藥，須符合特定條件及遺傳科醫師開立才能健保給付。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Sodium Phenobutyrate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Phenbuty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250mg/kg/day q6H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(小心保存, 易潮解)，須符合特定條件及遺傳科醫師開立才能健保給付。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Vitamin B12 stat im 1pc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Carnitine 50mg/kg/day iv qD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76" w:right="0" w:hanging="1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Management - Patient Monitoring </w:t>
      </w:r>
    </w:p>
    <w:tbl>
      <w:tblPr>
        <w:tblStyle w:val="Table9"/>
        <w:tblW w:w="9248.0" w:type="dxa"/>
        <w:jc w:val="left"/>
        <w:tblInd w:w="10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400"/>
      </w:tblPr>
      <w:tblGrid>
        <w:gridCol w:w="2312"/>
        <w:gridCol w:w="2312"/>
        <w:gridCol w:w="2312"/>
        <w:gridCol w:w="2312"/>
        <w:tblGridChange w:id="0">
          <w:tblGrid>
            <w:gridCol w:w="2312"/>
            <w:gridCol w:w="2312"/>
            <w:gridCol w:w="2312"/>
            <w:gridCol w:w="2312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6" w:val="single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8" w:val="single"/>
              <w:right w:color="000000" w:space="0" w:sz="0" w:val="nil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Ammonia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q3-q12H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Brain Echo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q1W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Dextrose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q4H-qD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Plasma 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q1-2W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Urinalysis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q1-2W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Na/K/Cl/Ca/P/Mg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Urine Organic Acid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q1-2W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PT/aPTT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q1-2W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76" w:right="0" w:hanging="1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Management - Supportive Care in the acute hyperammonemia phase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Nutrition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1.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前24-48小時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：暫停使用含蛋白質或氨基酸之奶品及輸液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4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若無意識不清噁心嘔吐，可喝美強生PFD (無氨基酸配方，0.8kcal/ml)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4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若需靜脈營養，可特調 D (10%-20%) AA 0% PN配方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非常規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請先電聯拜託幫忙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4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可加上SMOF 2g/kg/day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48小時後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：可加入少量氨基酸，若無意識不清噁心嘔吐應即早餵食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4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TPN (0.5-1%AA); 急性期 total protein intake 1.0-1.2g/kg/day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4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Essential amino acid supplement 亞培 Cyclinex (0.67kcal/ml, 0.01g protein/ml)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4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奶量達 20ml/meal 可逐量加入母乳 (MOM) 或一般配方奶 (母乳優先)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Hydration: 1.2-1.5倍的維持液需求量, 輸液流速 ≥ 4ml/kg/hr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每日熱量攝取目標：120-130kcal/kg/day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理想血糖範圍：100-150mg/dL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84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維持 SIR ≥ 4 mg/kg/min, DO NOT DECREASE SIR unless Lactate ≥ 27mg/dL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84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高血糖：若 &gt; 150mg/dL，可調降SIR最低到4mg/kg/min。若高血糖持續，加上RI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840" w:right="0" w:hanging="4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低血糖：增加輸液Dextrose濃度，提高 SIR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SMOF: 2-3g/kg/day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微量元素及維他命補充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Folinate qW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Biotin, Vitamin B6, Vitamin B12, Vitamin K1 in Lyo-Povigen qW1,3,5 (in TPN)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Neuroprotection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26" w:right="0" w:hanging="24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 36C-36.5C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26" w:right="0" w:hanging="24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Hypertonic saline or mannitol, and hyperventilation if cerebral edema is present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26" w:right="0" w:hanging="24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Valproic acid &amp; Steroids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26" w:right="0" w:hanging="24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seizure: Luminal, Keppra, Dormicum 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Symptomatic Relief: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26" w:right="0" w:hanging="24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Nausea/vomiting: Primperan/Domperidon/Ondansetron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26" w:right="0" w:hanging="24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Probiotics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Others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0" w:right="0" w:firstLine="2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Antibiotics - 依病患臨床狀況決定; 若有接受腹膜透析或血液透析劑量需調整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0" w:right="0" w:firstLine="2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血液製品輸注: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5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血品 (PRBC, Platelet) 需洗滌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5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避免使用血漿製品 (Albumin, FFP)，若要使用需注意整體蛋白質攝取量需 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g/kg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2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各血品蛋白質含量：</w:t>
        <w:br w:type="textWrapping"/>
        <w:t xml:space="preserve">Albumin 25% (1ml=0.25g), FFP 7~8% (1ml=0.07g), Washed PRBC &lt;0.5g/unit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3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避免其他加據高血氨因子: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2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增加血氨生成: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3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31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Infection with urea-producing bacteria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Proteus mirabilis, E.coli, Klebsiella, Providencia rettgeri, Morganella morganii, diphtheroids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systemic mycobacterium or mycoplasma infections, herpes simplex virus infections)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3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31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Increased muscle catabolism: seizures, starvation, trauma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3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31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Iatrogenic: TPN with high protein load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3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31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 hemorrhage 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2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減少血氨排出: Portosystemic shunt, Ureterosigmoidostomy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32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藥物引起: Valproic acid, Carbamazepine, Sulfadiazine, Ribavirin, Salicylates, Glycine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1840"/>
          <w:tab w:val="left" w:leader="none" w:pos="2760"/>
          <w:tab w:val="left" w:leader="none" w:pos="3680"/>
          <w:tab w:val="left" w:leader="none" w:pos="4600"/>
          <w:tab w:val="left" w:leader="none" w:pos="5520"/>
          <w:tab w:val="left" w:leader="none" w:pos="6440"/>
          <w:tab w:val="left" w:leader="none" w:pos="7360"/>
          <w:tab w:val="left" w:leader="none" w:pos="8280"/>
          <w:tab w:val="left" w:leader="none" w:pos="92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Reference</w:t>
      </w:r>
    </w:p>
    <w:p w:rsidR="00000000" w:rsidDel="00000000" w:rsidP="00000000" w:rsidRDefault="00000000" w:rsidRPr="00000000" w14:paraId="00000334">
      <w:pPr>
        <w:keepNext w:val="0"/>
        <w:keepLines w:val="1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0" w:right="-257" w:hanging="2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Nakamura, K., Kido, J., Mitsubuchi, H., and Endo, F. Pediatrics International (2014) 56, 506-509.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1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0" w:right="-257" w:hanging="2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Häberle, J., Boddaert, N., Burlina A. et al. Orphanet Journal of Rare Diseases 2012, 7:32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1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0" w:right="-257" w:hanging="2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Häberle, J. Eur J Pediatr (2011) 170:21-34.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1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0" w:right="-257" w:hanging="2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Upadhyay R., Bleck TP, Busl KM. Case Rep Med. 2016;2016:8512721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257" w:firstLine="0"/>
        <w:jc w:val="left"/>
        <w:rPr>
          <w:color w:val="999999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75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400"/>
      </w:tblPr>
      <w:tblGrid>
        <w:gridCol w:w="3423"/>
        <w:gridCol w:w="3877"/>
        <w:gridCol w:w="2075"/>
        <w:tblGridChange w:id="0">
          <w:tblGrid>
            <w:gridCol w:w="3423"/>
            <w:gridCol w:w="3877"/>
            <w:gridCol w:w="2075"/>
          </w:tblGrid>
        </w:tblGridChange>
      </w:tblGrid>
      <w:tr>
        <w:trPr>
          <w:cantSplit w:val="0"/>
          <w:trHeight w:val="253.38623046875003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附錄 (一): 相關聯絡人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廠商/產品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聯絡人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c0b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電話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CVVH 機器廠商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John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0985-397-588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前茂/美德康&amp;亞諾 導管廠商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戴’R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0933-025-505</w:t>
            </w:r>
          </w:p>
        </w:tc>
      </w:tr>
      <w:tr>
        <w:trPr>
          <w:cantSplit w:val="0"/>
          <w:trHeight w:val="656.7724609375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藥物: Carbaglu, Buphenyl</w:t>
              <w:br w:type="textWrapping"/>
              <w:t xml:space="preserve">特殊配方奶: Cyclinex,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24hr 中國附醫罕病基金會物流中心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e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04-22086971</w:t>
            </w:r>
          </w:p>
        </w:tc>
      </w:tr>
    </w:tbl>
    <w:p w:rsidR="00000000" w:rsidDel="00000000" w:rsidP="00000000" w:rsidRDefault="00000000" w:rsidRPr="00000000" w14:paraId="00000348">
      <w:pPr>
        <w:tabs>
          <w:tab w:val="left" w:leader="none" w:pos="1840"/>
        </w:tabs>
        <w:spacing w:line="340" w:lineRule="auto"/>
        <w:rPr/>
      </w:pPr>
      <w:r w:rsidDel="00000000" w:rsidR="00000000" w:rsidRPr="00000000">
        <w:rPr>
          <w:rtl w:val="0"/>
        </w:rPr>
      </w:r>
    </w:p>
    <w:sectPr>
      <w:footerReference r:id="rId20" w:type="default"/>
      <w:type w:val="continuous"/>
      <w:pgSz w:h="16840" w:w="11900" w:orient="portrait"/>
      <w:pgMar w:bottom="1080" w:top="1080" w:left="1440" w:right="1080" w:header="851" w:footer="5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PMingLiu"/>
  <w:font w:name="Arial Unicode MS"/>
  <w:font w:name="Meiryo"/>
  <w:font w:name="Microsoft JhengHei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ambria Math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36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36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840" w:hanging="48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■"/>
      <w:lvlJc w:val="left"/>
      <w:pPr>
        <w:ind w:left="132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80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8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76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24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72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20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68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Letter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789" w:hanging="188.999999999999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58" w:hanging="158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58" w:hanging="157.99999999999977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58" w:hanging="158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58" w:hanging="158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58" w:hanging="15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58" w:hanging="158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58" w:hanging="158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58" w:hanging="158"/>
      </w:pPr>
      <w:rPr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840" w:hanging="48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■"/>
      <w:lvlJc w:val="left"/>
      <w:pPr>
        <w:ind w:left="132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80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8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76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24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72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20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680" w:hanging="48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1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)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669" w:hanging="479.9999999999997"/>
      </w:pPr>
      <w:rPr>
        <w:smallCaps w:val="0"/>
        <w:strike w:val="0"/>
        <w:color w:val="000000"/>
        <w:vertAlign w:val="baseline"/>
      </w:rPr>
    </w:lvl>
    <w:lvl w:ilvl="1">
      <w:start w:val="1"/>
      <w:numFmt w:val="bullet"/>
      <w:lvlText w:val="○"/>
      <w:lvlJc w:val="left"/>
      <w:pPr>
        <w:ind w:left="1149" w:hanging="480"/>
      </w:pPr>
      <w:rPr/>
    </w:lvl>
    <w:lvl w:ilvl="2">
      <w:start w:val="1"/>
      <w:numFmt w:val="lowerRoman"/>
      <w:lvlText w:val="%3."/>
      <w:lvlJc w:val="right"/>
      <w:pPr>
        <w:ind w:left="1629" w:hanging="480"/>
      </w:pPr>
      <w:rPr/>
    </w:lvl>
    <w:lvl w:ilvl="3">
      <w:start w:val="1"/>
      <w:numFmt w:val="decimal"/>
      <w:lvlText w:val="%4."/>
      <w:lvlJc w:val="left"/>
      <w:pPr>
        <w:ind w:left="2109" w:hanging="480"/>
      </w:pPr>
      <w:rPr/>
    </w:lvl>
    <w:lvl w:ilvl="4">
      <w:start w:val="1"/>
      <w:numFmt w:val="decimal"/>
      <w:lvlText w:val="%5、"/>
      <w:lvlJc w:val="left"/>
      <w:pPr>
        <w:ind w:left="2589" w:hanging="480"/>
      </w:pPr>
      <w:rPr/>
    </w:lvl>
    <w:lvl w:ilvl="5">
      <w:start w:val="1"/>
      <w:numFmt w:val="lowerRoman"/>
      <w:lvlText w:val="%6."/>
      <w:lvlJc w:val="right"/>
      <w:pPr>
        <w:ind w:left="3069" w:hanging="480"/>
      </w:pPr>
      <w:rPr/>
    </w:lvl>
    <w:lvl w:ilvl="6">
      <w:start w:val="1"/>
      <w:numFmt w:val="decimal"/>
      <w:lvlText w:val="%7."/>
      <w:lvlJc w:val="left"/>
      <w:pPr>
        <w:ind w:left="3549" w:hanging="480"/>
      </w:pPr>
      <w:rPr/>
    </w:lvl>
    <w:lvl w:ilvl="7">
      <w:start w:val="1"/>
      <w:numFmt w:val="decimal"/>
      <w:lvlText w:val="%8、"/>
      <w:lvlJc w:val="left"/>
      <w:pPr>
        <w:ind w:left="4029" w:hanging="480"/>
      </w:pPr>
      <w:rPr/>
    </w:lvl>
    <w:lvl w:ilvl="8">
      <w:start w:val="1"/>
      <w:numFmt w:val="lowerRoman"/>
      <w:lvlText w:val="%9."/>
      <w:lvlJc w:val="right"/>
      <w:pPr>
        <w:ind w:left="4509" w:hanging="48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789" w:hanging="188.999999999999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)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19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176" w:hanging="176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356" w:hanging="176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54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72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90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108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126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144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162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789" w:hanging="188.999999999999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5">
    <w:lvl w:ilvl="0">
      <w:start w:val="1"/>
      <w:numFmt w:val="upperLetter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8">
    <w:lvl w:ilvl="0">
      <w:start w:val="1"/>
      <w:numFmt w:val="upperLetter"/>
      <w:lvlText w:val="%1."/>
      <w:lvlJc w:val="left"/>
      <w:pPr>
        <w:ind w:left="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(%2)"/>
      <w:lvlJc w:val="left"/>
      <w:pPr>
        <w:ind w:left="883" w:hanging="316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upperLetter"/>
      <w:lvlText w:val="%3."/>
      <w:lvlJc w:val="left"/>
      <w:pPr>
        <w:ind w:left="2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upperLetter"/>
      <w:lvlText w:val="%4."/>
      <w:lvlJc w:val="left"/>
      <w:pPr>
        <w:ind w:left="3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upperLetter"/>
      <w:lvlText w:val="%5."/>
      <w:lvlJc w:val="left"/>
      <w:pPr>
        <w:ind w:left="4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upperLetter"/>
      <w:lvlText w:val="%6."/>
      <w:lvlJc w:val="left"/>
      <w:pPr>
        <w:ind w:left="5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upperLetter"/>
      <w:lvlText w:val="%7."/>
      <w:lvlJc w:val="left"/>
      <w:pPr>
        <w:ind w:left="6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upperLetter"/>
      <w:lvlText w:val="%8."/>
      <w:lvlJc w:val="left"/>
      <w:pPr>
        <w:ind w:left="7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upperLetter"/>
      <w:lvlText w:val="%9."/>
      <w:lvlJc w:val="left"/>
      <w:pPr>
        <w:ind w:left="8316" w:hanging="316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1">
    <w:lvl w:ilvl="0">
      <w:start w:val="1"/>
      <w:numFmt w:val="upperLetter"/>
      <w:lvlText w:val="%1."/>
      <w:lvlJc w:val="left"/>
      <w:pPr>
        <w:ind w:left="176" w:hanging="176"/>
      </w:pPr>
      <w:rPr>
        <w:smallCaps w:val="0"/>
        <w:strike w:val="0"/>
        <w:color w:val="000000"/>
        <w:sz w:val="24"/>
        <w:szCs w:val="24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356" w:hanging="176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54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72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90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108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126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144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1620" w:hanging="180"/>
      </w:pPr>
      <w:rPr>
        <w:smallCaps w:val="0"/>
        <w:strike w:val="0"/>
        <w:color w:val="000000"/>
        <w:sz w:val="13"/>
        <w:szCs w:val="13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789" w:hanging="188.999999999999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789" w:hanging="188.999999999999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1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2457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•"/>
      <w:lvlJc w:val="left"/>
      <w:pPr>
        <w:ind w:left="176" w:hanging="176"/>
      </w:pPr>
      <w:rPr>
        <w:smallCaps w:val="0"/>
        <w:strike w:val="0"/>
        <w:sz w:val="13"/>
        <w:szCs w:val="13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356" w:hanging="176"/>
      </w:pPr>
      <w:rPr>
        <w:smallCaps w:val="0"/>
        <w:strike w:val="0"/>
        <w:sz w:val="13"/>
        <w:szCs w:val="13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540" w:hanging="180"/>
      </w:pPr>
      <w:rPr>
        <w:smallCaps w:val="0"/>
        <w:strike w:val="0"/>
        <w:sz w:val="13"/>
        <w:szCs w:val="13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720" w:hanging="180"/>
      </w:pPr>
      <w:rPr>
        <w:smallCaps w:val="0"/>
        <w:strike w:val="0"/>
        <w:sz w:val="13"/>
        <w:szCs w:val="13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900" w:hanging="180"/>
      </w:pPr>
      <w:rPr>
        <w:smallCaps w:val="0"/>
        <w:strike w:val="0"/>
        <w:sz w:val="13"/>
        <w:szCs w:val="13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1080" w:hanging="180"/>
      </w:pPr>
      <w:rPr>
        <w:smallCaps w:val="0"/>
        <w:strike w:val="0"/>
        <w:sz w:val="13"/>
        <w:szCs w:val="13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1260" w:hanging="180"/>
      </w:pPr>
      <w:rPr>
        <w:smallCaps w:val="0"/>
        <w:strike w:val="0"/>
        <w:sz w:val="13"/>
        <w:szCs w:val="13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1440" w:hanging="180"/>
      </w:pPr>
      <w:rPr>
        <w:smallCaps w:val="0"/>
        <w:strike w:val="0"/>
        <w:sz w:val="13"/>
        <w:szCs w:val="13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1620" w:hanging="180"/>
      </w:pPr>
      <w:rPr>
        <w:smallCaps w:val="0"/>
        <w:strike w:val="0"/>
        <w:sz w:val="13"/>
        <w:szCs w:val="13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1">
    <w:lvl w:ilvl="0">
      <w:start w:val="1"/>
      <w:numFmt w:val="upperLetter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1425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905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385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5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345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825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305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785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265" w:hanging="48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6">
    <w:lvl w:ilvl="0">
      <w:start w:val="1"/>
      <w:numFmt w:val="upperLetter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789" w:hanging="188.999999999999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9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789" w:hanging="188.999999999999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61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789" w:hanging="188.999999999999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63">
    <w:lvl w:ilvl="0">
      <w:start w:val="1"/>
      <w:numFmt w:val="upperLetter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67">
    <w:lvl w:ilvl="0">
      <w:start w:val="1"/>
      <w:numFmt w:val="upperLetter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68">
    <w:lvl w:ilvl="0">
      <w:start w:val="1"/>
      <w:numFmt w:val="decimal"/>
      <w:lvlText w:val="%1."/>
      <w:lvlJc w:val="left"/>
      <w:pPr>
        <w:ind w:left="851" w:hanging="480.0000000000003"/>
      </w:pPr>
      <w:rPr/>
    </w:lvl>
    <w:lvl w:ilvl="1">
      <w:start w:val="1"/>
      <w:numFmt w:val="decimal"/>
      <w:lvlText w:val="%2、"/>
      <w:lvlJc w:val="left"/>
      <w:pPr>
        <w:ind w:left="1331" w:hanging="480"/>
      </w:pPr>
      <w:rPr/>
    </w:lvl>
    <w:lvl w:ilvl="2">
      <w:start w:val="1"/>
      <w:numFmt w:val="lowerRoman"/>
      <w:lvlText w:val="%3."/>
      <w:lvlJc w:val="right"/>
      <w:pPr>
        <w:ind w:left="1811" w:hanging="480"/>
      </w:pPr>
      <w:rPr/>
    </w:lvl>
    <w:lvl w:ilvl="3">
      <w:start w:val="1"/>
      <w:numFmt w:val="decimal"/>
      <w:lvlText w:val="%4."/>
      <w:lvlJc w:val="left"/>
      <w:pPr>
        <w:ind w:left="2291" w:hanging="480"/>
      </w:pPr>
      <w:rPr/>
    </w:lvl>
    <w:lvl w:ilvl="4">
      <w:start w:val="1"/>
      <w:numFmt w:val="decimal"/>
      <w:lvlText w:val="%5、"/>
      <w:lvlJc w:val="left"/>
      <w:pPr>
        <w:ind w:left="2771" w:hanging="480"/>
      </w:pPr>
      <w:rPr/>
    </w:lvl>
    <w:lvl w:ilvl="5">
      <w:start w:val="1"/>
      <w:numFmt w:val="lowerRoman"/>
      <w:lvlText w:val="%6."/>
      <w:lvlJc w:val="right"/>
      <w:pPr>
        <w:ind w:left="3251" w:hanging="480"/>
      </w:pPr>
      <w:rPr/>
    </w:lvl>
    <w:lvl w:ilvl="6">
      <w:start w:val="1"/>
      <w:numFmt w:val="decimal"/>
      <w:lvlText w:val="%7."/>
      <w:lvlJc w:val="left"/>
      <w:pPr>
        <w:ind w:left="3731" w:hanging="480"/>
      </w:pPr>
      <w:rPr/>
    </w:lvl>
    <w:lvl w:ilvl="7">
      <w:start w:val="1"/>
      <w:numFmt w:val="decimal"/>
      <w:lvlText w:val="%8、"/>
      <w:lvlJc w:val="left"/>
      <w:pPr>
        <w:ind w:left="4211" w:hanging="480"/>
      </w:pPr>
      <w:rPr/>
    </w:lvl>
    <w:lvl w:ilvl="8">
      <w:start w:val="1"/>
      <w:numFmt w:val="lowerRoman"/>
      <w:lvlText w:val="%9."/>
      <w:lvlJc w:val="right"/>
      <w:pPr>
        <w:ind w:left="4691" w:hanging="480"/>
      </w:pPr>
      <w:rPr/>
    </w:lvl>
  </w:abstractNum>
  <w:abstractNum w:abstractNumId="6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71">
    <w:lvl w:ilvl="0">
      <w:start w:val="1"/>
      <w:numFmt w:val="upperLetter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72">
    <w:lvl w:ilvl="0">
      <w:start w:val="1"/>
      <w:numFmt w:val="decimal"/>
      <w:lvlText w:val="%1."/>
      <w:lvlJc w:val="left"/>
      <w:pPr>
        <w:ind w:left="764" w:hanging="479.9999999999997"/>
      </w:pPr>
      <w:rPr/>
    </w:lvl>
    <w:lvl w:ilvl="1">
      <w:start w:val="1"/>
      <w:numFmt w:val="decimal"/>
      <w:lvlText w:val="%2、"/>
      <w:lvlJc w:val="left"/>
      <w:pPr>
        <w:ind w:left="1244" w:hanging="480"/>
      </w:pPr>
      <w:rPr/>
    </w:lvl>
    <w:lvl w:ilvl="2">
      <w:start w:val="1"/>
      <w:numFmt w:val="lowerRoman"/>
      <w:lvlText w:val="%3."/>
      <w:lvlJc w:val="right"/>
      <w:pPr>
        <w:ind w:left="1724" w:hanging="480"/>
      </w:pPr>
      <w:rPr/>
    </w:lvl>
    <w:lvl w:ilvl="3">
      <w:start w:val="1"/>
      <w:numFmt w:val="decimal"/>
      <w:lvlText w:val="%4."/>
      <w:lvlJc w:val="left"/>
      <w:pPr>
        <w:ind w:left="2204" w:hanging="480"/>
      </w:pPr>
      <w:rPr/>
    </w:lvl>
    <w:lvl w:ilvl="4">
      <w:start w:val="1"/>
      <w:numFmt w:val="decimal"/>
      <w:lvlText w:val="%5、"/>
      <w:lvlJc w:val="left"/>
      <w:pPr>
        <w:ind w:left="2684" w:hanging="480"/>
      </w:pPr>
      <w:rPr/>
    </w:lvl>
    <w:lvl w:ilvl="5">
      <w:start w:val="1"/>
      <w:numFmt w:val="lowerRoman"/>
      <w:lvlText w:val="%6."/>
      <w:lvlJc w:val="right"/>
      <w:pPr>
        <w:ind w:left="3164" w:hanging="480"/>
      </w:pPr>
      <w:rPr/>
    </w:lvl>
    <w:lvl w:ilvl="6">
      <w:start w:val="1"/>
      <w:numFmt w:val="decimal"/>
      <w:lvlText w:val="%7."/>
      <w:lvlJc w:val="left"/>
      <w:pPr>
        <w:ind w:left="3644" w:hanging="480"/>
      </w:pPr>
      <w:rPr/>
    </w:lvl>
    <w:lvl w:ilvl="7">
      <w:start w:val="1"/>
      <w:numFmt w:val="decimal"/>
      <w:lvlText w:val="%8、"/>
      <w:lvlJc w:val="left"/>
      <w:pPr>
        <w:ind w:left="4124" w:hanging="480"/>
      </w:pPr>
      <w:rPr/>
    </w:lvl>
    <w:lvl w:ilvl="8">
      <w:start w:val="1"/>
      <w:numFmt w:val="lowerRoman"/>
      <w:lvlText w:val="%9."/>
      <w:lvlJc w:val="right"/>
      <w:pPr>
        <w:ind w:left="4604" w:hanging="480"/>
      </w:pPr>
      <w:rPr/>
    </w:lvl>
  </w:abstractNum>
  <w:abstractNum w:abstractNumId="73">
    <w:lvl w:ilvl="0">
      <w:start w:val="1"/>
      <w:numFmt w:val="decimal"/>
      <w:lvlText w:val="%1."/>
      <w:lvlJc w:val="left"/>
      <w:pPr>
        <w:ind w:left="764" w:hanging="479.9999999999997"/>
      </w:pPr>
      <w:rPr/>
    </w:lvl>
    <w:lvl w:ilvl="1">
      <w:start w:val="1"/>
      <w:numFmt w:val="decimal"/>
      <w:lvlText w:val="%2、"/>
      <w:lvlJc w:val="left"/>
      <w:pPr>
        <w:ind w:left="1244" w:hanging="480"/>
      </w:pPr>
      <w:rPr/>
    </w:lvl>
    <w:lvl w:ilvl="2">
      <w:start w:val="1"/>
      <w:numFmt w:val="lowerRoman"/>
      <w:lvlText w:val="%3."/>
      <w:lvlJc w:val="right"/>
      <w:pPr>
        <w:ind w:left="1724" w:hanging="480"/>
      </w:pPr>
      <w:rPr/>
    </w:lvl>
    <w:lvl w:ilvl="3">
      <w:start w:val="1"/>
      <w:numFmt w:val="decimal"/>
      <w:lvlText w:val="%4."/>
      <w:lvlJc w:val="left"/>
      <w:pPr>
        <w:ind w:left="2204" w:hanging="480"/>
      </w:pPr>
      <w:rPr/>
    </w:lvl>
    <w:lvl w:ilvl="4">
      <w:start w:val="1"/>
      <w:numFmt w:val="decimal"/>
      <w:lvlText w:val="%5、"/>
      <w:lvlJc w:val="left"/>
      <w:pPr>
        <w:ind w:left="2684" w:hanging="480"/>
      </w:pPr>
      <w:rPr/>
    </w:lvl>
    <w:lvl w:ilvl="5">
      <w:start w:val="1"/>
      <w:numFmt w:val="lowerRoman"/>
      <w:lvlText w:val="%6."/>
      <w:lvlJc w:val="right"/>
      <w:pPr>
        <w:ind w:left="3164" w:hanging="480"/>
      </w:pPr>
      <w:rPr/>
    </w:lvl>
    <w:lvl w:ilvl="6">
      <w:start w:val="1"/>
      <w:numFmt w:val="decimal"/>
      <w:lvlText w:val="%7."/>
      <w:lvlJc w:val="left"/>
      <w:pPr>
        <w:ind w:left="3644" w:hanging="480"/>
      </w:pPr>
      <w:rPr/>
    </w:lvl>
    <w:lvl w:ilvl="7">
      <w:start w:val="1"/>
      <w:numFmt w:val="decimal"/>
      <w:lvlText w:val="%8、"/>
      <w:lvlJc w:val="left"/>
      <w:pPr>
        <w:ind w:left="4124" w:hanging="480"/>
      </w:pPr>
      <w:rPr/>
    </w:lvl>
    <w:lvl w:ilvl="8">
      <w:start w:val="1"/>
      <w:numFmt w:val="lowerRoman"/>
      <w:lvlText w:val="%9."/>
      <w:lvlJc w:val="right"/>
      <w:pPr>
        <w:ind w:left="4604" w:hanging="48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75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77">
    <w:lvl w:ilvl="0">
      <w:start w:val="2"/>
      <w:numFmt w:val="bullet"/>
      <w:lvlText w:val="●"/>
      <w:lvlJc w:val="left"/>
      <w:pPr>
        <w:ind w:left="189" w:hanging="189"/>
      </w:pPr>
      <w:rPr>
        <w:rFonts w:ascii="Noto Sans Symbols" w:cs="Noto Sans Symbols" w:eastAsia="Noto Sans Symbols" w:hAnsi="Noto Sans Symbols"/>
        <w:smallCaps w:val="0"/>
        <w:strike w:val="0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vertAlign w:val="baseline"/>
      </w:rPr>
    </w:lvl>
    <w:lvl w:ilvl="2">
      <w:start w:val="4"/>
      <w:numFmt w:val="decimal"/>
      <w:lvlText w:val="%3)"/>
      <w:lvlJc w:val="left"/>
      <w:pPr>
        <w:ind w:left="1389" w:hanging="189"/>
      </w:pPr>
      <w:rPr>
        <w:smallCaps w:val="0"/>
        <w:strike w:val="0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vertAlign w:val="baseline"/>
      </w:rPr>
    </w:lvl>
  </w:abstractNum>
  <w:abstractNum w:abstractNumId="78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80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•"/>
      <w:lvlJc w:val="left"/>
      <w:pPr>
        <w:ind w:left="180" w:hanging="18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360" w:hanging="180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540" w:hanging="180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720" w:hanging="180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900" w:hanging="180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080" w:hanging="180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1260" w:hanging="180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1440" w:hanging="180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1620" w:hanging="180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83">
    <w:lvl w:ilvl="0">
      <w:start w:val="1"/>
      <w:numFmt w:val="upperLetter"/>
      <w:lvlText w:val="%1."/>
      <w:lvlJc w:val="left"/>
      <w:pPr>
        <w:ind w:left="567" w:hanging="567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84">
    <w:lvl w:ilvl="0">
      <w:start w:val="1"/>
      <w:numFmt w:val="decimal"/>
      <w:lvlText w:val="%1)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85">
    <w:lvl w:ilvl="0">
      <w:start w:val="1"/>
      <w:numFmt w:val="bullet"/>
      <w:lvlText w:val="●"/>
      <w:lvlJc w:val="left"/>
      <w:pPr>
        <w:ind w:left="1787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2267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747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7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707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4187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67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5147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627" w:hanging="480"/>
      </w:pPr>
      <w:rPr>
        <w:rFonts w:ascii="Noto Sans Symbols" w:cs="Noto Sans Symbols" w:eastAsia="Noto Sans Symbols" w:hAnsi="Noto Sans Symbols"/>
      </w:rPr>
    </w:lvl>
  </w:abstractNum>
  <w:abstractNum w:abstractNumId="86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87">
    <w:lvl w:ilvl="0">
      <w:start w:val="1"/>
      <w:numFmt w:val="upperLetter"/>
      <w:lvlText w:val="%1."/>
      <w:lvlJc w:val="left"/>
      <w:pPr>
        <w:ind w:left="480" w:hanging="480"/>
      </w:pPr>
      <w:rPr>
        <w:smallCaps w:val="0"/>
        <w:strike w:val="0"/>
        <w:color w:val="000000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1"/>
      <w:numFmt w:val="bullet"/>
      <w:lvlText w:val="•"/>
      <w:lvlJc w:val="left"/>
      <w:pPr>
        <w:ind w:left="180" w:hanging="18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60" w:hanging="180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540" w:hanging="180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720" w:hanging="180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900" w:hanging="180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080" w:hanging="180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1260" w:hanging="180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1440" w:hanging="180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1620" w:hanging="180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89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789" w:hanging="188.999999999999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90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91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789" w:hanging="188.999999999999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92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)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93">
    <w:lvl w:ilvl="0">
      <w:start w:val="1"/>
      <w:numFmt w:val="upperLetter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94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)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9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6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97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20" w:hanging="360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98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99">
    <w:lvl w:ilvl="0">
      <w:start w:val="1"/>
      <w:numFmt w:val="decimal"/>
      <w:lvlText w:val="%1)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spacing w:line="720" w:lineRule="auto"/>
    </w:pPr>
    <w:rPr>
      <w:rFonts w:ascii="Helvetica Neue" w:cs="Helvetica Neue" w:eastAsia="Helvetica Neue" w:hAnsi="Helvetica Neue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color="515151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360" w:line="288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000000"/>
      <w:sz w:val="60"/>
      <w:szCs w:val="6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Helvetica Neue" w:cs="Helvetica Neue" w:eastAsia="Helvetica Neue" w:hAnsi="Helvetica Neue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Helvetica Neue" w:cs="Helvetica Neue" w:eastAsia="Helvetica Neue" w:hAnsi="Helvetica Neue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Helvetica Neue" w:cs="Helvetica Neue" w:eastAsia="Helvetica Neue" w:hAnsi="Helvetica Neue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Helvetica Neue" w:cs="Helvetica Neue" w:eastAsia="Helvetica Neue" w:hAnsi="Helvetica Neue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5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Helvetica Neue" w:cs="Helvetica Neue" w:eastAsia="Helvetica Neue" w:hAnsi="Helvetica Neue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Helvetica Neue" w:cs="Helvetica Neue" w:eastAsia="Helvetica Neue" w:hAnsi="Helvetica Neue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Helvetica Neue" w:cs="Helvetica Neue" w:eastAsia="Helvetica Neue" w:hAnsi="Helvetica Neue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8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Helvetica Neue" w:cs="Helvetica Neue" w:eastAsia="Helvetica Neue" w:hAnsi="Helvetica Neue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Helvetica Neue" w:cs="Helvetica Neue" w:eastAsia="Helvetica Neue" w:hAnsi="Helvetica Neue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rFonts w:ascii="Helvetica Neue" w:cs="Helvetica Neue" w:eastAsia="Helvetica Neue" w:hAnsi="Helvetica Neue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5.xml"/><Relationship Id="rId11" Type="http://schemas.openxmlformats.org/officeDocument/2006/relationships/image" Target="media/image6.png"/><Relationship Id="rId10" Type="http://schemas.openxmlformats.org/officeDocument/2006/relationships/image" Target="media/image3.jp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19" Type="http://schemas.openxmlformats.org/officeDocument/2006/relationships/footer" Target="footer4.xml"/><Relationship Id="rId6" Type="http://schemas.openxmlformats.org/officeDocument/2006/relationships/image" Target="media/image7.png"/><Relationship Id="rId18" Type="http://schemas.openxmlformats.org/officeDocument/2006/relationships/footer" Target="footer3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1" Type="http://schemas.openxmlformats.org/officeDocument/2006/relationships/font" Target="fonts/CambriaMath-regular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