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Medications used in the NICU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bookmarkStart w:colFirst="0" w:colLast="0" w:name="_ih15h9tyu0vo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急救藥物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284"/>
        <w:jc w:val="left"/>
        <w:rPr>
          <w:i w:val="0"/>
          <w:iCs w:val="0"/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Epinephrine (Bosmin)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Sodium Bicarbonate: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詳見 Appendix 章節 - NRP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284"/>
        <w:jc w:val="left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Atropine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機轉：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抗膽鹼藥物，經直接去迷走神經作用，加強竇房結自主性和房室傳導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適應症：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有症狀的心搏過緩病人之初步治療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劑量(1mg/1mL/amp)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0.02 – 0.03 mg/kg且最低劑量為0.1mg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最高單一劑量於小孩為0.5mg，青少年為l mg，若效果不彰，5分鐘可再給一次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Atropine可誘發心律過速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若劑量低於0.1mg，可能會發生paradoxical bradycardia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會阻礙掉血氧不足所引發心搏遲緩之臨床觀察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高劑量：潮紅、發燒、心悸、尿滯留、便秘、顫抖、瞻妄、視力模糊、瞳孔放大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Contraindicated in thyrotoxicosis, tachycardia secondary to cardiac insufficiency, and obstructive GI diseases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284"/>
        <w:jc w:val="left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Naloxone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作用機轉制：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純粹為narcotic(opiate)之拮抗劑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適應症：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矯治narcotic poisoning所需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劑量 (0.4 mg/1mL/amp)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嬰兒- 5歲兒童(體重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20kg)-0.l mg/kg/dose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5歲以上兒童(或體重&gt;20kg)-2.0 mg/dose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一般劑量範圍-0.005~0.4 mg/kg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連續性靜脈滴注-0.04~0.16 mg/kg/hr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注意事項：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副作用罕見：噁心、嘔吐、心搏加速、血壓上升、抽搐及心律不整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作用時間快(&lt;2分鐘)且持續時間約45分鐘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重複給藥之間隔可為間隔2分鐘，直到臨床效果呈現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in infants of narcotic-addicted mothers because may precipitate acute withdraw syndrome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bookmarkStart w:colFirst="0" w:colLast="0" w:name="_wk5w4veu8xzx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急救復甦後之藥物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請參考CV章節 - CV drug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Respiratory drugs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Respiratory章節 - RDS, MAS, AOP, Pul hemorrhage, BPD, PPHN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Pulmonary Vasodilators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請參考Respiratory章節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PPHN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CV Drugs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: 請參考CV章節 - CV drug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 Drugs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請參考 GI-GI drug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567" w:right="0" w:hanging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Sedation and Analgesia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請參考 Routine-Newborn sedation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76" w:lineRule="auto"/>
        <w:ind w:left="567" w:right="0" w:hanging="567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76" w:lineRule="auto"/>
        <w:ind w:left="993" w:hanging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Albumin</w:t>
      </w:r>
      <w:r w:rsidDel="00000000" w:rsidR="00000000" w:rsidRPr="00000000">
        <w:rPr>
          <w:rtl w:val="0"/>
        </w:rPr>
        <w:t xml:space="preserve"> (25%, 50ml/B)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line="276" w:lineRule="auto"/>
        <w:ind w:left="1275.5905511811022" w:hanging="283.46456692913375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color w:val="232323"/>
          <w:highlight w:val="white"/>
          <w:rtl w:val="0"/>
        </w:rPr>
        <w:t xml:space="preserve">用於 Hypovlemia: use </w:t>
      </w:r>
      <w:r w:rsidDel="00000000" w:rsidR="00000000" w:rsidRPr="00000000">
        <w:rPr>
          <w:b w:val="1"/>
          <w:bCs w:val="1"/>
          <w:color w:val="232323"/>
          <w:shd w:fill="d9d9d9" w:val="clear"/>
          <w:rtl w:val="0"/>
        </w:rPr>
        <w:t xml:space="preserve">5%</w:t>
      </w:r>
      <w:r w:rsidDel="00000000" w:rsidR="00000000" w:rsidRPr="00000000">
        <w:rPr>
          <w:rFonts w:ascii="Gungsuh" w:cs="Gungsuh" w:eastAsia="Gungsuh" w:hAnsi="Gungsuh"/>
          <w:color w:val="232323"/>
          <w:highlight w:val="white"/>
          <w:rtl w:val="0"/>
        </w:rPr>
        <w:t xml:space="preserve"> Albumin 0.5 to 1 g/kg/dose (10 to 20 mL/kg/dose) ≥60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line="276" w:lineRule="auto"/>
        <w:ind w:left="1275.5905511811022" w:hanging="283.46456692913375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color w:val="232323"/>
          <w:highlight w:val="white"/>
          <w:rtl w:val="0"/>
        </w:rPr>
        <w:t xml:space="preserve">用於 fluid / sodium restrictions (patient with hypoproteinemia and generalized edema, or nephrotic syndrome): 才考慮用 25% albumin, 25% albumin in NB with risk of IVH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76" w:lineRule="auto"/>
        <w:ind w:left="993" w:hanging="283"/>
        <w:rPr/>
      </w:pPr>
      <w:r w:rsidDel="00000000" w:rsidR="00000000" w:rsidRPr="00000000">
        <w:rPr>
          <w:rtl w:val="0"/>
        </w:rPr>
        <w:t xml:space="preserve">Steroid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276" w:lineRule="auto"/>
        <w:ind w:left="1276" w:hanging="252.99999999999997"/>
        <w:rPr/>
      </w:pPr>
      <w:r w:rsidDel="00000000" w:rsidR="00000000" w:rsidRPr="00000000">
        <w:rPr>
          <w:u w:val="single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: ELBW &lt;3 d/o, no response to high dose of Dopamine and Dobutamine, no hypovolemia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ind w:left="1276" w:hanging="252.99999999999997"/>
        <w:rPr/>
      </w:pPr>
      <w:r w:rsidDel="00000000" w:rsidR="00000000" w:rsidRPr="00000000">
        <w:rPr>
          <w:rtl w:val="0"/>
        </w:rPr>
        <w:t xml:space="preserve">Dexamethasone (Decadron) : 0.25-0.5 mg/kg single dose or q12h for 1day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line="276" w:lineRule="auto"/>
        <w:ind w:left="1276" w:hanging="252.99999999999997"/>
        <w:rPr/>
      </w:pPr>
      <w:r w:rsidDel="00000000" w:rsidR="00000000" w:rsidRPr="00000000">
        <w:rPr>
          <w:b w:val="1"/>
          <w:bCs w:val="1"/>
          <w:shd w:fill="d9d9d9" w:val="clear"/>
          <w:rtl w:val="0"/>
        </w:rPr>
        <w:t xml:space="preserve">Hydrocortisone (Solu-Cortef)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：1mg/kg/dose q8h-q12h for 1-5 days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360" w:firstLine="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(Reference: Uptodate: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Hydrocortisone (systemic): Neonatal drug information)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40" w:top="1440" w:left="1080" w:right="1080" w:header="0" w:footer="567"/>
      <w:pgNumType w:start="21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PMingLiu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38h3vrgebq6q" w:id="2"/>
    <w:bookmarkEnd w:id="2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0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963" w:hanging="253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6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6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0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5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52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5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963" w:hanging="253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89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669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49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29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09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589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69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49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29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upperLetter"/>
      <w:lvlText w:val="%1."/>
      <w:lvlJc w:val="left"/>
      <w:pPr>
        <w:ind w:left="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upperLetter"/>
      <w:lvlText w:val="%3."/>
      <w:lvlJc w:val="left"/>
      <w:pPr>
        <w:ind w:left="2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upperLetter"/>
      <w:lvlText w:val="%4."/>
      <w:lvlJc w:val="left"/>
      <w:pPr>
        <w:ind w:left="3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upperLetter"/>
      <w:lvlText w:val="%5."/>
      <w:lvlJc w:val="left"/>
      <w:pPr>
        <w:ind w:left="4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upperLetter"/>
      <w:lvlText w:val="%6."/>
      <w:lvlJc w:val="left"/>
      <w:pPr>
        <w:ind w:left="5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upperLetter"/>
      <w:lvlText w:val="%7."/>
      <w:lvlJc w:val="left"/>
      <w:pPr>
        <w:ind w:left="6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upperLetter"/>
      <w:lvlText w:val="%8."/>
      <w:lvlJc w:val="left"/>
      <w:pPr>
        <w:ind w:left="7316" w:hanging="316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upperLetter"/>
      <w:lvlText w:val="%9."/>
      <w:lvlJc w:val="left"/>
      <w:pPr>
        <w:ind w:left="8316" w:hanging="316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253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3" w:hanging="25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06" w:hanging="480.0000000000003"/>
      </w:pPr>
      <w:rPr>
        <w:smallCaps w:val="0"/>
        <w:strike w:val="0"/>
        <w:color w:val="000000"/>
        <w:vertAlign w:val="baseline"/>
      </w:rPr>
    </w:lvl>
    <w:lvl w:ilvl="1">
      <w:start w:val="1"/>
      <w:numFmt w:val="decimal"/>
      <w:lvlText w:val="%2、"/>
      <w:lvlJc w:val="left"/>
      <w:pPr>
        <w:ind w:left="1386" w:hanging="480"/>
      </w:pPr>
      <w:rPr/>
    </w:lvl>
    <w:lvl w:ilvl="2">
      <w:start w:val="1"/>
      <w:numFmt w:val="lowerRoman"/>
      <w:lvlText w:val="%3."/>
      <w:lvlJc w:val="right"/>
      <w:pPr>
        <w:ind w:left="1866" w:hanging="480"/>
      </w:pPr>
      <w:rPr/>
    </w:lvl>
    <w:lvl w:ilvl="3">
      <w:start w:val="1"/>
      <w:numFmt w:val="decimal"/>
      <w:lvlText w:val="%4."/>
      <w:lvlJc w:val="left"/>
      <w:pPr>
        <w:ind w:left="2346" w:hanging="480"/>
      </w:pPr>
      <w:rPr/>
    </w:lvl>
    <w:lvl w:ilvl="4">
      <w:start w:val="1"/>
      <w:numFmt w:val="decimal"/>
      <w:lvlText w:val="%5、"/>
      <w:lvlJc w:val="left"/>
      <w:pPr>
        <w:ind w:left="2826" w:hanging="480"/>
      </w:pPr>
      <w:rPr/>
    </w:lvl>
    <w:lvl w:ilvl="5">
      <w:start w:val="1"/>
      <w:numFmt w:val="lowerRoman"/>
      <w:lvlText w:val="%6."/>
      <w:lvlJc w:val="right"/>
      <w:pPr>
        <w:ind w:left="3306" w:hanging="480"/>
      </w:pPr>
      <w:rPr/>
    </w:lvl>
    <w:lvl w:ilvl="6">
      <w:start w:val="1"/>
      <w:numFmt w:val="decimal"/>
      <w:lvlText w:val="%7."/>
      <w:lvlJc w:val="left"/>
      <w:pPr>
        <w:ind w:left="3786" w:hanging="480"/>
      </w:pPr>
      <w:rPr/>
    </w:lvl>
    <w:lvl w:ilvl="7">
      <w:start w:val="1"/>
      <w:numFmt w:val="decimal"/>
      <w:lvlText w:val="%8、"/>
      <w:lvlJc w:val="left"/>
      <w:pPr>
        <w:ind w:left="4266" w:hanging="480"/>
      </w:pPr>
      <w:rPr/>
    </w:lvl>
    <w:lvl w:ilvl="8">
      <w:start w:val="1"/>
      <w:numFmt w:val="lowerRoman"/>
      <w:lvlText w:val="%9."/>
      <w:lvlJc w:val="right"/>
      <w:pPr>
        <w:ind w:left="4746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