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numPr>
          <w:ilvl w:val="0"/>
          <w:numId w:val="4"/>
        </w:numPr>
        <w:tabs>
          <w:tab w:val="left" w:leader="none" w:pos="567"/>
        </w:tabs>
        <w:spacing w:after="0" w:before="120" w:line="240" w:lineRule="auto"/>
        <w:ind w:left="480" w:hanging="4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Neonatal stroke </w:t>
      </w:r>
      <w:r w:rsidDel="00000000" w:rsidR="00000000" w:rsidRPr="00000000">
        <w:rPr>
          <w:rFonts w:ascii="Gungsuh" w:cs="Gungsuh" w:eastAsia="Gungsuh" w:hAnsi="Gungsuh"/>
          <w:color w:val="ff0000"/>
          <w:sz w:val="24"/>
          <w:szCs w:val="24"/>
          <w:shd w:fill="b7b7b7" w:val="clear"/>
          <w:rtl w:val="0"/>
        </w:rPr>
        <w:t xml:space="preserve">2025新增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tabs>
          <w:tab w:val="left" w:leader="none" w:pos="567"/>
        </w:tabs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(clinical-anatomic subtypes)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9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Arterial ischemic stroke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9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Hemorrhagic stroke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Cerebral sinovenous thrombosis (CSVT)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Periventricular venous infarction (PVI)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Clinical presentations: Encephalopathy, seizure, abnormal tone, focal neurologic deficits, respiratory impairments(apnea), and feeding problems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567"/>
        </w:tabs>
        <w:spacing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Define lesion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5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Cranial doppler sonogram, brain CT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5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MRI (greater sensitivity and specificity)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DWI may underestimate full extent of infarction: first 24 h and after 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T2 &amp; T2 FLAIR more reliable than DWI at day 7 and later in term newborns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5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Neurovascular imaging: MRA, MRV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Investigate underlying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CBC/DC, PLT, CRP, B/C, ABG, blood group, BUN/Cr, GOT/GPT, CK/CKMB, dextrose, PT/APTT, D-dimmer, Fibrinogen, FDP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Collage /EPI closure time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Factor XIII Activity (自費)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Von Willebrand factor (vWF Activity)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Anti-Thrombin III (AT-III), Protein-C/S test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Echocardiogram: detect structural heart disease with right- to-left shunt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567"/>
        </w:tabs>
        <w:spacing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Supportive care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Adequate oxygenation and ventilation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Correct dehydration and anemia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Monitor and correct metabolic disturbances(acidosis, hypoglycemia, hypocalcemia, and electrolyte disorders)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567"/>
        </w:tabs>
        <w:spacing w:before="0" w:line="240" w:lineRule="auto"/>
        <w:ind w:left="144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Antiseizure medications</w:t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567"/>
        </w:tabs>
        <w:spacing w:before="12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Prevent further injury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6"/>
        </w:numPr>
        <w:tabs>
          <w:tab w:val="left" w:leader="none" w:pos="567"/>
        </w:tabs>
        <w:spacing w:after="0" w:before="12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acute CSVT: consider anticoagulation with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t xml:space="preserve">unfractionated heparin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or LMWH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tabs>
          <w:tab w:val="left" w:leader="none" w:pos="567"/>
        </w:tabs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For intracerebral hemorrhage: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Correction of markedly low platelet counts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tabs>
          <w:tab w:val="left" w:leader="none" w:pos="567"/>
        </w:tabs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Replacement of deficient coagulation factors for neonates with coagulation factor deficiency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tabs>
          <w:tab w:val="left" w:leader="none" w:pos="567"/>
        </w:tabs>
        <w:spacing w:after="240" w:before="0" w:line="240" w:lineRule="auto"/>
        <w:ind w:left="2160" w:hanging="36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  <w:rtl w:val="0"/>
        </w:rPr>
        <w:t xml:space="preserve">Ventricular drainage or shunting for hydrocephalus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567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color w:val="2323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、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u w:val="no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u w:val="no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u w:val="no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u w:val="no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u w:val="no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u w:val="no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u w:val="no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ptodate.com/contents/heparin-unfractionated-pediatric-drug-information?topicRef=114253&amp;source=se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